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2068D3">
      <w:pPr>
        <w:pStyle w:val="31"/>
        <w:snapToGrid w:val="0"/>
        <w:rPr>
          <w:rFonts w:hint="eastAsia"/>
          <w:color w:val="000000" w:themeColor="text1"/>
          <w:highlight w:val="none"/>
          <w14:textFill>
            <w14:solidFill>
              <w14:schemeClr w14:val="tx1"/>
            </w14:solidFill>
          </w14:textFill>
        </w:rPr>
      </w:pPr>
      <w:bookmarkStart w:id="0" w:name="_Toc390099018"/>
      <w:bookmarkStart w:id="1" w:name="_Toc390098840"/>
      <w:bookmarkStart w:id="2" w:name="_Toc390246905"/>
      <w:bookmarkStart w:id="3" w:name="_Toc383698647"/>
      <w:bookmarkStart w:id="4" w:name="_Toc383587456"/>
      <w:bookmarkStart w:id="5" w:name="_Toc383679746"/>
      <w:bookmarkStart w:id="6" w:name="_Toc383623944"/>
      <w:bookmarkStart w:id="7" w:name="_Toc383623672"/>
      <w:bookmarkStart w:id="8" w:name="_Toc426469868"/>
      <w:bookmarkStart w:id="9" w:name="_Toc383625993"/>
      <w:bookmarkStart w:id="10" w:name="_Hlk195801265"/>
    </w:p>
    <w:p w14:paraId="44621B1A">
      <w:pPr>
        <w:pStyle w:val="31"/>
        <w:snapToGrid w:val="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招　标　文　件</w:t>
      </w:r>
    </w:p>
    <w:p w14:paraId="02B693FC">
      <w:pPr>
        <w:pStyle w:val="31"/>
        <w:snapToGrid w:val="0"/>
        <w:rPr>
          <w:rFonts w:hint="eastAsia"/>
          <w:color w:val="000000" w:themeColor="text1"/>
          <w:highlight w:val="none"/>
          <w14:textFill>
            <w14:solidFill>
              <w14:schemeClr w14:val="tx1"/>
            </w14:solidFill>
          </w14:textFill>
        </w:rPr>
      </w:pPr>
    </w:p>
    <w:p w14:paraId="3157CE5D">
      <w:pPr>
        <w:pStyle w:val="31"/>
        <w:snapToGrid w:val="0"/>
        <w:spacing w:line="360" w:lineRule="auto"/>
        <w:rPr>
          <w:rFonts w:hint="eastAsia"/>
          <w:color w:val="000000" w:themeColor="text1"/>
          <w:sz w:val="36"/>
          <w:szCs w:val="36"/>
          <w:highlight w:val="none"/>
          <w14:textFill>
            <w14:solidFill>
              <w14:schemeClr w14:val="tx1"/>
            </w14:solidFill>
          </w14:textFill>
        </w:rPr>
      </w:pPr>
    </w:p>
    <w:p w14:paraId="109498E3">
      <w:pPr>
        <w:spacing w:line="240" w:lineRule="auto"/>
        <w:ind w:firstLine="640"/>
        <w:rPr>
          <w:rFonts w:hint="eastAsia" w:asciiTheme="minorEastAsia" w:hAnsiTheme="minorEastAsia" w:eastAsiaTheme="minorEastAsia"/>
          <w:b/>
          <w:bCs/>
          <w:color w:val="000000" w:themeColor="text1"/>
          <w:sz w:val="36"/>
          <w:szCs w:val="36"/>
          <w:highlight w:val="none"/>
          <w14:textFill>
            <w14:solidFill>
              <w14:schemeClr w14:val="tx1"/>
            </w14:solidFill>
          </w14:textFill>
        </w:rPr>
      </w:pPr>
      <w:r>
        <w:rPr>
          <w:rFonts w:asciiTheme="minorEastAsia" w:hAnsiTheme="minorEastAsia" w:eastAsiaTheme="minorEastAsia"/>
          <w:b/>
          <w:bCs/>
          <w:color w:val="000000" w:themeColor="text1"/>
          <w:sz w:val="36"/>
          <w:szCs w:val="36"/>
          <w:highlight w:val="none"/>
          <w14:textFill>
            <w14:solidFill>
              <w14:schemeClr w14:val="tx1"/>
            </w14:solidFill>
          </w14:textFill>
        </w:rPr>
        <w:t>项目名称：</w:t>
      </w:r>
      <w:r>
        <w:rPr>
          <w:rFonts w:hint="eastAsia" w:asciiTheme="minorEastAsia" w:hAnsiTheme="minorEastAsia" w:eastAsiaTheme="minorEastAsia"/>
          <w:b/>
          <w:bCs/>
          <w:color w:val="000000" w:themeColor="text1"/>
          <w:sz w:val="36"/>
          <w:szCs w:val="36"/>
          <w:highlight w:val="none"/>
          <w14:textFill>
            <w14:solidFill>
              <w14:schemeClr w14:val="tx1"/>
            </w14:solidFill>
          </w14:textFill>
        </w:rPr>
        <w:t>智慧园区环保监测监控平台水质监测站点运维服务项目</w:t>
      </w:r>
    </w:p>
    <w:p w14:paraId="2FB9F171">
      <w:pPr>
        <w:ind w:firstLine="2078" w:firstLineChars="575"/>
        <w:jc w:val="left"/>
        <w:rPr>
          <w:rFonts w:hint="eastAsia" w:asciiTheme="minorEastAsia" w:hAnsiTheme="minorEastAsia" w:eastAsiaTheme="minorEastAsia"/>
          <w:b/>
          <w:bCs/>
          <w:color w:val="000000" w:themeColor="text1"/>
          <w:sz w:val="36"/>
          <w:szCs w:val="36"/>
          <w:highlight w:val="none"/>
          <w14:textFill>
            <w14:solidFill>
              <w14:schemeClr w14:val="tx1"/>
            </w14:solidFill>
          </w14:textFill>
        </w:rPr>
      </w:pPr>
    </w:p>
    <w:p w14:paraId="0B703FA4">
      <w:pPr>
        <w:ind w:firstLine="788" w:firstLineChars="218"/>
        <w:jc w:val="left"/>
        <w:rPr>
          <w:rFonts w:hint="eastAsia" w:asciiTheme="minorEastAsia" w:hAnsiTheme="minorEastAsia" w:eastAsiaTheme="minorEastAsia"/>
          <w:b/>
          <w:bCs/>
          <w:color w:val="000000" w:themeColor="text1"/>
          <w:sz w:val="36"/>
          <w:szCs w:val="36"/>
          <w:highlight w:val="none"/>
          <w14:textFill>
            <w14:solidFill>
              <w14:schemeClr w14:val="tx1"/>
            </w14:solidFill>
          </w14:textFill>
        </w:rPr>
      </w:pPr>
      <w:r>
        <w:rPr>
          <w:rFonts w:asciiTheme="minorEastAsia" w:hAnsiTheme="minorEastAsia" w:eastAsiaTheme="minorEastAsia"/>
          <w:b/>
          <w:bCs/>
          <w:color w:val="000000" w:themeColor="text1"/>
          <w:sz w:val="36"/>
          <w:szCs w:val="36"/>
          <w:highlight w:val="none"/>
          <w14:textFill>
            <w14:solidFill>
              <w14:schemeClr w14:val="tx1"/>
            </w14:solidFill>
          </w14:textFill>
        </w:rPr>
        <w:t>项目编号：</w:t>
      </w:r>
      <w:r>
        <w:rPr>
          <w:rFonts w:asciiTheme="minorEastAsia" w:hAnsiTheme="minorEastAsia" w:eastAsiaTheme="minorEastAsia"/>
          <w:b/>
          <w:bCs/>
          <w:color w:val="000000" w:themeColor="text1"/>
          <w:sz w:val="36"/>
          <w:szCs w:val="36"/>
          <w:highlight w:val="none"/>
          <w14:textFill>
            <w14:solidFill>
              <w14:schemeClr w14:val="tx1"/>
            </w14:solidFill>
          </w14:textFill>
        </w:rPr>
        <w:t>JSZC-321283-GXGL-G2025-0049</w:t>
      </w:r>
    </w:p>
    <w:p w14:paraId="6C4623E8">
      <w:pPr>
        <w:pStyle w:val="31"/>
        <w:snapToGrid w:val="0"/>
        <w:rPr>
          <w:rFonts w:hint="eastAsia"/>
          <w:color w:val="000000" w:themeColor="text1"/>
          <w:highlight w:val="none"/>
          <w14:textFill>
            <w14:solidFill>
              <w14:schemeClr w14:val="tx1"/>
            </w14:solidFill>
          </w14:textFill>
        </w:rPr>
      </w:pPr>
    </w:p>
    <w:p w14:paraId="59DC775C">
      <w:pPr>
        <w:pStyle w:val="31"/>
        <w:snapToGrid w:val="0"/>
        <w:rPr>
          <w:rFonts w:hint="eastAsia"/>
          <w:color w:val="000000" w:themeColor="text1"/>
          <w:highlight w:val="none"/>
          <w14:textFill>
            <w14:solidFill>
              <w14:schemeClr w14:val="tx1"/>
            </w14:solidFill>
          </w14:textFill>
        </w:rPr>
      </w:pPr>
    </w:p>
    <w:p w14:paraId="79DBFCD4">
      <w:pPr>
        <w:pStyle w:val="31"/>
        <w:snapToGrid w:val="0"/>
        <w:rPr>
          <w:rFonts w:hint="eastAsia"/>
          <w:color w:val="000000" w:themeColor="text1"/>
          <w:highlight w:val="none"/>
          <w14:textFill>
            <w14:solidFill>
              <w14:schemeClr w14:val="tx1"/>
            </w14:solidFill>
          </w14:textFill>
        </w:rPr>
      </w:pPr>
    </w:p>
    <w:p w14:paraId="077F4D40">
      <w:pPr>
        <w:rPr>
          <w:color w:val="000000" w:themeColor="text1"/>
          <w:highlight w:val="none"/>
          <w14:textFill>
            <w14:solidFill>
              <w14:schemeClr w14:val="tx1"/>
            </w14:solidFill>
          </w14:textFill>
        </w:rPr>
      </w:pPr>
    </w:p>
    <w:p w14:paraId="39C34A05">
      <w:pPr>
        <w:rPr>
          <w:color w:val="000000" w:themeColor="text1"/>
          <w:highlight w:val="none"/>
          <w14:textFill>
            <w14:solidFill>
              <w14:schemeClr w14:val="tx1"/>
            </w14:solidFill>
          </w14:textFill>
        </w:rPr>
      </w:pPr>
    </w:p>
    <w:p w14:paraId="13FB7D62">
      <w:pPr>
        <w:spacing w:line="360" w:lineRule="auto"/>
        <w:ind w:firstLine="640"/>
        <w:rPr>
          <w:color w:val="000000" w:themeColor="text1"/>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江苏省泰兴经济开发区管理委员会</w:t>
      </w:r>
    </w:p>
    <w:p w14:paraId="3205CABB">
      <w:pPr>
        <w:spacing w:line="360" w:lineRule="auto"/>
        <w:ind w:firstLine="640"/>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江苏国兴建设项目管理有限公司</w:t>
      </w:r>
    </w:p>
    <w:p w14:paraId="233F2F44">
      <w:pPr>
        <w:spacing w:line="360" w:lineRule="auto"/>
        <w:ind w:firstLine="640"/>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二○二五年十</w:t>
      </w:r>
      <w:r>
        <w:rPr>
          <w:rFonts w:hint="eastAsia"/>
          <w:b/>
          <w:bCs/>
          <w:color w:val="000000" w:themeColor="text1"/>
          <w:sz w:val="36"/>
          <w:szCs w:val="36"/>
          <w:highlight w:val="none"/>
          <w:lang w:eastAsia="zh-CN"/>
          <w14:textFill>
            <w14:solidFill>
              <w14:schemeClr w14:val="tx1"/>
            </w14:solidFill>
          </w14:textFill>
        </w:rPr>
        <w:t>二</w:t>
      </w:r>
      <w:r>
        <w:rPr>
          <w:rFonts w:hint="eastAsia"/>
          <w:b/>
          <w:bCs/>
          <w:color w:val="000000" w:themeColor="text1"/>
          <w:sz w:val="36"/>
          <w:szCs w:val="36"/>
          <w:highlight w:val="none"/>
          <w14:textFill>
            <w14:solidFill>
              <w14:schemeClr w14:val="tx1"/>
            </w14:solidFill>
          </w14:textFill>
        </w:rPr>
        <w:t>月</w:t>
      </w:r>
    </w:p>
    <w:p w14:paraId="4A051A8B">
      <w:pPr>
        <w:rPr>
          <w:rFonts w:cs="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r>
    </w:p>
    <w:p w14:paraId="40D83457">
      <w:pPr>
        <w:pStyle w:val="18"/>
        <w:ind w:firstLine="56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第一章</w:t>
      </w:r>
      <w:bookmarkEnd w:id="0"/>
      <w:bookmarkEnd w:id="1"/>
      <w:bookmarkEnd w:id="2"/>
      <w:bookmarkEnd w:id="3"/>
      <w:bookmarkEnd w:id="4"/>
      <w:bookmarkEnd w:id="5"/>
      <w:bookmarkEnd w:id="6"/>
      <w:bookmarkEnd w:id="7"/>
      <w:bookmarkEnd w:id="8"/>
      <w:bookmarkEnd w:id="9"/>
      <w:r>
        <w:rPr>
          <w:rFonts w:hint="eastAsia"/>
          <w:color w:val="000000" w:themeColor="text1"/>
          <w:highlight w:val="none"/>
          <w14:textFill>
            <w14:solidFill>
              <w14:schemeClr w14:val="tx1"/>
            </w14:solidFill>
          </w14:textFill>
        </w:rPr>
        <w:t xml:space="preserve">  智慧园区环保监测监控平台水质监测站点运维服务项目采购公告</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01"/>
      </w:tblGrid>
      <w:tr w14:paraId="1322B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3" w:hRule="atLeast"/>
        </w:trPr>
        <w:tc>
          <w:tcPr>
            <w:tcW w:w="0" w:type="auto"/>
          </w:tcPr>
          <w:p w14:paraId="415CD262">
            <w:pPr>
              <w:widowControl/>
              <w:pBdr>
                <w:top w:val="none" w:color="000000" w:sz="0" w:space="0"/>
                <w:left w:val="none" w:color="000000" w:sz="0" w:space="0"/>
                <w:bottom w:val="none" w:color="000000" w:sz="0" w:space="0"/>
                <w:right w:val="none" w:color="000000" w:sz="0" w:space="0"/>
              </w:pBdr>
              <w:adjustRightInd/>
              <w:snapToGrid/>
              <w:spacing w:line="539" w:lineRule="atLeast"/>
              <w:ind w:firstLine="0" w:firstLineChars="0"/>
              <w:jc w:val="both"/>
              <w:rPr>
                <w:rStyle w:val="25"/>
                <w:rFonts w:hint="eastAsia" w:ascii="宋体" w:hAnsi="宋体" w:cs="宋体"/>
                <w:color w:val="000000" w:themeColor="text1"/>
                <w:sz w:val="24"/>
                <w:szCs w:val="22"/>
                <w:highlight w:val="none"/>
                <w14:textFill>
                  <w14:solidFill>
                    <w14:schemeClr w14:val="tx1"/>
                  </w14:solidFill>
                </w14:textFill>
              </w:rPr>
            </w:pPr>
            <w:r>
              <w:rPr>
                <w:rStyle w:val="25"/>
                <w:rFonts w:hint="eastAsia" w:ascii="宋体" w:hAnsi="宋体" w:cs="宋体"/>
                <w:color w:val="000000" w:themeColor="text1"/>
                <w:sz w:val="24"/>
                <w:szCs w:val="22"/>
                <w:highlight w:val="none"/>
                <w14:textFill>
                  <w14:solidFill>
                    <w14:schemeClr w14:val="tx1"/>
                  </w14:solidFill>
                </w14:textFill>
              </w:rPr>
              <w:t>项目概况</w:t>
            </w:r>
          </w:p>
          <w:p w14:paraId="20FFDF35">
            <w:pPr>
              <w:widowControl/>
              <w:pBdr>
                <w:top w:val="none" w:color="000000" w:sz="0" w:space="0"/>
                <w:left w:val="none" w:color="000000" w:sz="0" w:space="0"/>
                <w:bottom w:val="none" w:color="000000" w:sz="0" w:space="0"/>
                <w:right w:val="none" w:color="000000" w:sz="0" w:space="0"/>
              </w:pBdr>
              <w:adjustRightInd/>
              <w:snapToGrid/>
              <w:spacing w:line="539" w:lineRule="atLeast"/>
              <w:ind w:firstLine="480" w:firstLineChars="200"/>
              <w:jc w:val="both"/>
              <w:rPr>
                <w:color w:val="000000" w:themeColor="text1"/>
                <w:highlight w:val="none"/>
                <w14:textFill>
                  <w14:solidFill>
                    <w14:schemeClr w14:val="tx1"/>
                  </w14:solidFill>
                </w14:textFill>
              </w:rPr>
            </w:pPr>
            <w:r>
              <w:rPr>
                <w:rStyle w:val="25"/>
                <w:rFonts w:hint="eastAsia" w:ascii="宋体" w:hAnsi="宋体" w:cs="宋体"/>
                <w:color w:val="000000" w:themeColor="text1"/>
                <w:sz w:val="24"/>
                <w:szCs w:val="22"/>
                <w:highlight w:val="none"/>
                <w:u w:val="single"/>
                <w14:textFill>
                  <w14:solidFill>
                    <w14:schemeClr w14:val="tx1"/>
                  </w14:solidFill>
                </w14:textFill>
              </w:rPr>
              <w:t>智慧园区环保监测监控平台水质监测站点运维服务项目</w:t>
            </w:r>
            <w:r>
              <w:rPr>
                <w:rStyle w:val="25"/>
                <w:rFonts w:hint="eastAsia" w:ascii="宋体" w:hAnsi="宋体" w:cs="宋体"/>
                <w:color w:val="000000" w:themeColor="text1"/>
                <w:sz w:val="24"/>
                <w:szCs w:val="22"/>
                <w:highlight w:val="none"/>
                <w:u w:val="single"/>
                <w14:textFill>
                  <w14:solidFill>
                    <w14:schemeClr w14:val="tx1"/>
                  </w14:solidFill>
                </w14:textFill>
              </w:rPr>
              <w:t>JSZC-321283-GXGL-G2025-0049</w:t>
            </w:r>
            <w:r>
              <w:rPr>
                <w:rStyle w:val="25"/>
                <w:rFonts w:hint="eastAsia" w:ascii="宋体" w:hAnsi="宋体" w:cs="宋体"/>
                <w:color w:val="000000" w:themeColor="text1"/>
                <w:sz w:val="24"/>
                <w:szCs w:val="22"/>
                <w:highlight w:val="none"/>
                <w14:textFill>
                  <w14:solidFill>
                    <w14:schemeClr w14:val="tx1"/>
                  </w14:solidFill>
                </w14:textFill>
              </w:rPr>
              <w:t>招标项目的潜在投标人应在 江苏政府采购网-苏采云 获取招标文件，并于2025-12-</w:t>
            </w:r>
            <w:r>
              <w:rPr>
                <w:rStyle w:val="25"/>
                <w:rFonts w:hint="eastAsia" w:ascii="宋体" w:hAnsi="宋体" w:cs="宋体"/>
                <w:color w:val="000000" w:themeColor="text1"/>
                <w:sz w:val="24"/>
                <w:szCs w:val="22"/>
                <w:highlight w:val="none"/>
                <w:lang w:val="en-US" w:eastAsia="zh-CN"/>
                <w14:textFill>
                  <w14:solidFill>
                    <w14:schemeClr w14:val="tx1"/>
                  </w14:solidFill>
                </w14:textFill>
              </w:rPr>
              <w:t>24</w:t>
            </w:r>
            <w:r>
              <w:rPr>
                <w:rStyle w:val="25"/>
                <w:rFonts w:hint="eastAsia" w:ascii="宋体" w:hAnsi="宋体" w:cs="宋体"/>
                <w:color w:val="000000" w:themeColor="text1"/>
                <w:sz w:val="24"/>
                <w:szCs w:val="22"/>
                <w:highlight w:val="none"/>
                <w14:textFill>
                  <w14:solidFill>
                    <w14:schemeClr w14:val="tx1"/>
                  </w14:solidFill>
                </w14:textFill>
              </w:rPr>
              <w:t xml:space="preserve"> </w:t>
            </w:r>
            <w:r>
              <w:rPr>
                <w:rStyle w:val="25"/>
                <w:rFonts w:hint="eastAsia" w:ascii="宋体" w:hAnsi="宋体" w:cs="宋体"/>
                <w:color w:val="000000" w:themeColor="text1"/>
                <w:sz w:val="24"/>
                <w:szCs w:val="22"/>
                <w:highlight w:val="none"/>
                <w:lang w:val="en-US" w:eastAsia="zh-CN"/>
                <w14:textFill>
                  <w14:solidFill>
                    <w14:schemeClr w14:val="tx1"/>
                  </w14:solidFill>
                </w14:textFill>
              </w:rPr>
              <w:t>14</w:t>
            </w:r>
            <w:r>
              <w:rPr>
                <w:rStyle w:val="25"/>
                <w:rFonts w:hint="eastAsia" w:ascii="宋体" w:hAnsi="宋体" w:cs="宋体"/>
                <w:color w:val="000000" w:themeColor="text1"/>
                <w:sz w:val="24"/>
                <w:szCs w:val="22"/>
                <w:highlight w:val="none"/>
                <w14:textFill>
                  <w14:solidFill>
                    <w14:schemeClr w14:val="tx1"/>
                  </w14:solidFill>
                </w14:textFill>
              </w:rPr>
              <w:t>：</w:t>
            </w:r>
            <w:r>
              <w:rPr>
                <w:rStyle w:val="25"/>
                <w:rFonts w:hint="eastAsia" w:ascii="宋体" w:hAnsi="宋体" w:cs="宋体"/>
                <w:color w:val="000000" w:themeColor="text1"/>
                <w:sz w:val="24"/>
                <w:szCs w:val="22"/>
                <w:highlight w:val="none"/>
                <w:lang w:val="en-US" w:eastAsia="zh-CN"/>
                <w14:textFill>
                  <w14:solidFill>
                    <w14:schemeClr w14:val="tx1"/>
                  </w14:solidFill>
                </w14:textFill>
              </w:rPr>
              <w:t>3</w:t>
            </w:r>
            <w:r>
              <w:rPr>
                <w:rStyle w:val="25"/>
                <w:rFonts w:hint="eastAsia" w:ascii="宋体" w:hAnsi="宋体" w:cs="宋体"/>
                <w:color w:val="000000" w:themeColor="text1"/>
                <w:sz w:val="24"/>
                <w:szCs w:val="22"/>
                <w:highlight w:val="none"/>
                <w14:textFill>
                  <w14:solidFill>
                    <w14:schemeClr w14:val="tx1"/>
                  </w14:solidFill>
                </w14:textFill>
              </w:rPr>
              <w:t>0（北京时间）前递交投标文件。</w:t>
            </w:r>
          </w:p>
        </w:tc>
      </w:tr>
    </w:tbl>
    <w:p w14:paraId="3549EE6E">
      <w:pPr>
        <w:ind w:firstLine="0" w:firstLineChars="0"/>
        <w:jc w:val="left"/>
        <w:rPr>
          <w:color w:val="000000" w:themeColor="text1"/>
          <w:highlight w:val="none"/>
          <w14:textFill>
            <w14:solidFill>
              <w14:schemeClr w14:val="tx1"/>
            </w14:solidFill>
          </w14:textFill>
        </w:rPr>
      </w:pPr>
      <w:bookmarkStart w:id="11" w:name="_Toc35393790"/>
      <w:bookmarkStart w:id="12" w:name="_Toc28359079"/>
      <w:bookmarkStart w:id="13" w:name="_Toc28359002"/>
      <w:bookmarkStart w:id="14" w:name="_Toc35393621"/>
      <w:bookmarkStart w:id="15" w:name="_Hlk24379207"/>
      <w:r>
        <w:rPr>
          <w:rFonts w:hint="eastAsia"/>
          <w:color w:val="000000" w:themeColor="text1"/>
          <w:highlight w:val="none"/>
          <w14:textFill>
            <w14:solidFill>
              <w14:schemeClr w14:val="tx1"/>
            </w14:solidFill>
          </w14:textFill>
        </w:rPr>
        <w:t>一、项目基本情况</w:t>
      </w:r>
      <w:bookmarkEnd w:id="11"/>
      <w:bookmarkEnd w:id="12"/>
      <w:bookmarkEnd w:id="13"/>
      <w:bookmarkEnd w:id="14"/>
    </w:p>
    <w:p w14:paraId="704CD4A4">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1.项目编号：</w:t>
      </w:r>
      <w:bookmarkStart w:id="16" w:name="OLE_LINK6"/>
      <w:r>
        <w:rPr>
          <w:rFonts w:hint="eastAsia" w:ascii="宋体" w:hAnsi="宋体" w:cs="宋体"/>
          <w:color w:val="000000" w:themeColor="text1"/>
          <w:szCs w:val="22"/>
          <w:highlight w:val="none"/>
          <w14:textFill>
            <w14:solidFill>
              <w14:schemeClr w14:val="tx1"/>
            </w14:solidFill>
          </w14:textFill>
        </w:rPr>
        <w:t>JSZC-321283-GXGL-G2025-0049</w:t>
      </w:r>
    </w:p>
    <w:bookmarkEnd w:id="16"/>
    <w:p w14:paraId="4E8679E2">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2.</w:t>
      </w:r>
      <w:r>
        <w:rPr>
          <w:rFonts w:ascii="宋体" w:hAnsi="宋体" w:cs="宋体"/>
          <w:color w:val="000000" w:themeColor="text1"/>
          <w:szCs w:val="22"/>
          <w:highlight w:val="none"/>
          <w14:textFill>
            <w14:solidFill>
              <w14:schemeClr w14:val="tx1"/>
            </w14:solidFill>
          </w14:textFill>
        </w:rPr>
        <w:t>项目名称：</w:t>
      </w:r>
      <w:r>
        <w:rPr>
          <w:rFonts w:hint="eastAsia" w:ascii="宋体" w:hAnsi="宋体" w:cs="宋体"/>
          <w:color w:val="000000" w:themeColor="text1"/>
          <w:szCs w:val="22"/>
          <w:highlight w:val="none"/>
          <w14:textFill>
            <w14:solidFill>
              <w14:schemeClr w14:val="tx1"/>
            </w14:solidFill>
          </w14:textFill>
        </w:rPr>
        <w:t>智慧园区环保监测监控平台水质监测站点运维服务项目</w:t>
      </w:r>
    </w:p>
    <w:p w14:paraId="17FEB8EF">
      <w:pPr>
        <w:pStyle w:val="20"/>
        <w:shd w:val="clear" w:color="auto" w:fill="FFFFFF"/>
        <w:spacing w:before="0" w:after="0" w:line="440" w:lineRule="exact"/>
        <w:ind w:firstLine="240" w:firstLineChars="100"/>
        <w:jc w:val="both"/>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t>3.采购方式：公开招标</w:t>
      </w:r>
    </w:p>
    <w:p w14:paraId="22095688">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cs="宋体"/>
          <w:color w:val="000000" w:themeColor="text1"/>
          <w:szCs w:val="22"/>
          <w:highlight w:val="none"/>
          <w14:textFill>
            <w14:solidFill>
              <w14:schemeClr w14:val="tx1"/>
            </w14:solidFill>
          </w14:textFill>
        </w:rPr>
      </w:pPr>
      <w:r>
        <w:rPr>
          <w:rFonts w:hint="eastAsia"/>
          <w:color w:val="000000" w:themeColor="text1"/>
          <w:highlight w:val="none"/>
          <w14:textFill>
            <w14:solidFill>
              <w14:schemeClr w14:val="tx1"/>
            </w14:solidFill>
          </w14:textFill>
        </w:rPr>
        <w:t>4.预算金额：</w:t>
      </w:r>
      <w:r>
        <w:rPr>
          <w:rFonts w:hint="eastAsia" w:ascii="宋体" w:hAnsi="宋体" w:cs="宋体"/>
          <w:color w:val="000000" w:themeColor="text1"/>
          <w:szCs w:val="22"/>
          <w:highlight w:val="none"/>
          <w14:textFill>
            <w14:solidFill>
              <w14:schemeClr w14:val="tx1"/>
            </w14:solidFill>
          </w14:textFill>
        </w:rPr>
        <w:t>215万元</w:t>
      </w:r>
      <w:bookmarkStart w:id="370" w:name="_GoBack"/>
      <w:bookmarkEnd w:id="370"/>
    </w:p>
    <w:p w14:paraId="5B49719A">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eastAsia="宋体" w:cs="宋体"/>
          <w:color w:val="000000" w:themeColor="text1"/>
          <w:szCs w:val="22"/>
          <w:highlight w:val="none"/>
          <w:lang w:eastAsia="zh-CN"/>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5.最高限价（如有）：193.5万元</w:t>
      </w:r>
    </w:p>
    <w:p w14:paraId="2B9804C0">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6.采购需求：本项目为江苏省泰兴经济开发区管理委员会通江河道水质自动监测站运维服务项目，采购内容包括9套电极法微型水质自动监测站和3套国标法微型水质自动监测站运行维护、1个微型水质自动监测站建设及运行维护（具体内容详见招标文件）。</w:t>
      </w:r>
    </w:p>
    <w:p w14:paraId="01FB117F">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7.合同履行期限：两年</w:t>
      </w:r>
    </w:p>
    <w:p w14:paraId="17DADD27">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8.本项目（是/否）接受联合体投标：否</w:t>
      </w:r>
    </w:p>
    <w:bookmarkEnd w:id="15"/>
    <w:p w14:paraId="4262D47F">
      <w:pPr>
        <w:ind w:firstLine="0" w:firstLineChars="0"/>
        <w:jc w:val="left"/>
        <w:rPr>
          <w:color w:val="000000" w:themeColor="text1"/>
          <w:highlight w:val="none"/>
          <w14:textFill>
            <w14:solidFill>
              <w14:schemeClr w14:val="tx1"/>
            </w14:solidFill>
          </w14:textFill>
        </w:rPr>
      </w:pPr>
      <w:bookmarkStart w:id="17" w:name="_Toc28359003"/>
      <w:bookmarkStart w:id="18" w:name="_Toc35393622"/>
      <w:bookmarkStart w:id="19" w:name="_Toc28359080"/>
      <w:bookmarkStart w:id="20" w:name="_Toc35393791"/>
      <w:r>
        <w:rPr>
          <w:rFonts w:hint="eastAsia"/>
          <w:color w:val="000000" w:themeColor="text1"/>
          <w:highlight w:val="none"/>
          <w14:textFill>
            <w14:solidFill>
              <w14:schemeClr w14:val="tx1"/>
            </w14:solidFill>
          </w14:textFill>
        </w:rPr>
        <w:t>二、申请人的资格要求：</w:t>
      </w:r>
      <w:bookmarkEnd w:id="17"/>
      <w:bookmarkEnd w:id="18"/>
      <w:bookmarkEnd w:id="19"/>
      <w:bookmarkEnd w:id="20"/>
    </w:p>
    <w:p w14:paraId="647EE6DF">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left"/>
        <w:rPr>
          <w:rFonts w:hint="eastAsia" w:ascii="宋体" w:hAnsi="宋体" w:cs="宋体"/>
          <w:color w:val="000000" w:themeColor="text1"/>
          <w:szCs w:val="22"/>
          <w:highlight w:val="none"/>
          <w14:textFill>
            <w14:solidFill>
              <w14:schemeClr w14:val="tx1"/>
            </w14:solidFill>
          </w14:textFill>
        </w:rPr>
      </w:pPr>
      <w:bookmarkStart w:id="21" w:name="_Toc28359085"/>
      <w:bookmarkStart w:id="22" w:name="_Toc35393627"/>
      <w:bookmarkStart w:id="23" w:name="_Toc35393796"/>
      <w:bookmarkStart w:id="24" w:name="_Toc28359008"/>
      <w:r>
        <w:rPr>
          <w:rFonts w:hint="eastAsia" w:ascii="宋体" w:hAnsi="宋体" w:cs="宋体"/>
          <w:color w:val="000000" w:themeColor="text1"/>
          <w:szCs w:val="22"/>
          <w:highlight w:val="none"/>
          <w14:textFill>
            <w14:solidFill>
              <w14:schemeClr w14:val="tx1"/>
            </w14:solidFill>
          </w14:textFill>
        </w:rPr>
        <w:t>（一）满足《中华人民共和国政府采购法》第二十二条规定；</w:t>
      </w:r>
    </w:p>
    <w:p w14:paraId="736BF7F0">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left"/>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1.基本资格条件的承诺（根据供应商提供的承诺函，内容完整且</w:t>
      </w:r>
      <w:r>
        <w:rPr>
          <w:rFonts w:hint="eastAsia" w:ascii="宋体" w:hAnsi="宋体" w:cs="宋体"/>
          <w:color w:val="000000" w:themeColor="text1"/>
          <w:szCs w:val="22"/>
          <w:highlight w:val="none"/>
          <w:lang w:val="en-US" w:eastAsia="zh-CN"/>
          <w14:textFill>
            <w14:solidFill>
              <w14:schemeClr w14:val="tx1"/>
            </w14:solidFill>
          </w14:textFill>
        </w:rPr>
        <w:t>签章完备</w:t>
      </w:r>
      <w:r>
        <w:rPr>
          <w:rFonts w:hint="eastAsia" w:ascii="宋体" w:hAnsi="宋体" w:cs="宋体"/>
          <w:color w:val="000000" w:themeColor="text1"/>
          <w:szCs w:val="22"/>
          <w:highlight w:val="none"/>
          <w14:textFill>
            <w14:solidFill>
              <w14:schemeClr w14:val="tx1"/>
            </w14:solidFill>
          </w14:textFill>
        </w:rPr>
        <w:t>）。</w:t>
      </w:r>
    </w:p>
    <w:p w14:paraId="1013A6DB">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left"/>
        <w:rPr>
          <w:rFonts w:hint="eastAsia" w:ascii="宋体" w:hAnsi="宋体" w:cs="宋体"/>
          <w:color w:val="000000" w:themeColor="text1"/>
          <w:szCs w:val="22"/>
          <w:highlight w:val="none"/>
          <w14:textFill>
            <w14:solidFill>
              <w14:schemeClr w14:val="tx1"/>
            </w14:solidFill>
          </w14:textFill>
        </w:rPr>
      </w:pPr>
      <w:bookmarkStart w:id="25" w:name="_Toc28359004"/>
      <w:bookmarkStart w:id="26" w:name="_Toc28359081"/>
      <w:r>
        <w:rPr>
          <w:rFonts w:hint="eastAsia" w:ascii="宋体" w:hAnsi="宋体" w:cs="宋体"/>
          <w:color w:val="000000" w:themeColor="text1"/>
          <w:szCs w:val="22"/>
          <w:highlight w:val="none"/>
          <w14:textFill>
            <w14:solidFill>
              <w14:schemeClr w14:val="tx1"/>
            </w14:solidFill>
          </w14:textFill>
        </w:rPr>
        <w:t>（二）落实政府采购政策需满足的资格要求：本项目为非专门面向中小企业的项目。</w:t>
      </w:r>
    </w:p>
    <w:bookmarkEnd w:id="25"/>
    <w:bookmarkEnd w:id="26"/>
    <w:p w14:paraId="5CF4CBFD">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left"/>
        <w:rPr>
          <w:color w:val="000000" w:themeColor="text1"/>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（三）本项目的特定资格要求：无。</w:t>
      </w:r>
    </w:p>
    <w:p w14:paraId="36429E19">
      <w:pPr>
        <w:ind w:firstLine="0" w:firstLineChars="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三、获取招标文件</w:t>
      </w:r>
    </w:p>
    <w:p w14:paraId="34B80238">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1.时间：2025年1</w:t>
      </w:r>
      <w:r>
        <w:rPr>
          <w:rFonts w:hint="eastAsia" w:ascii="宋体" w:hAnsi="宋体" w:cs="宋体"/>
          <w:color w:val="000000" w:themeColor="text1"/>
          <w:szCs w:val="22"/>
          <w:highlight w:val="none"/>
          <w:lang w:val="en-US" w:eastAsia="zh-CN"/>
          <w14:textFill>
            <w14:solidFill>
              <w14:schemeClr w14:val="tx1"/>
            </w14:solidFill>
          </w14:textFill>
        </w:rPr>
        <w:t>2</w:t>
      </w:r>
      <w:r>
        <w:rPr>
          <w:rFonts w:hint="eastAsia" w:ascii="宋体" w:hAnsi="宋体" w:cs="宋体"/>
          <w:color w:val="000000" w:themeColor="text1"/>
          <w:szCs w:val="22"/>
          <w:highlight w:val="none"/>
          <w14:textFill>
            <w14:solidFill>
              <w14:schemeClr w14:val="tx1"/>
            </w14:solidFill>
          </w14:textFill>
        </w:rPr>
        <w:t>月</w:t>
      </w:r>
      <w:r>
        <w:rPr>
          <w:rFonts w:hint="eastAsia" w:ascii="宋体" w:hAnsi="宋体" w:cs="宋体"/>
          <w:color w:val="000000" w:themeColor="text1"/>
          <w:szCs w:val="22"/>
          <w:highlight w:val="none"/>
          <w:lang w:val="en-US" w:eastAsia="zh-CN"/>
          <w14:textFill>
            <w14:solidFill>
              <w14:schemeClr w14:val="tx1"/>
            </w14:solidFill>
          </w14:textFill>
        </w:rPr>
        <w:t>3</w:t>
      </w:r>
      <w:r>
        <w:rPr>
          <w:rFonts w:hint="eastAsia" w:ascii="宋体" w:hAnsi="宋体" w:cs="宋体"/>
          <w:color w:val="000000" w:themeColor="text1"/>
          <w:szCs w:val="22"/>
          <w:highlight w:val="none"/>
          <w14:textFill>
            <w14:solidFill>
              <w14:schemeClr w14:val="tx1"/>
            </w14:solidFill>
          </w14:textFill>
        </w:rPr>
        <w:t>日至2025年1</w:t>
      </w:r>
      <w:r>
        <w:rPr>
          <w:rFonts w:hint="eastAsia" w:ascii="宋体" w:hAnsi="宋体" w:cs="宋体"/>
          <w:color w:val="000000" w:themeColor="text1"/>
          <w:szCs w:val="22"/>
          <w:highlight w:val="none"/>
          <w:lang w:val="en-US" w:eastAsia="zh-CN"/>
          <w14:textFill>
            <w14:solidFill>
              <w14:schemeClr w14:val="tx1"/>
            </w14:solidFill>
          </w14:textFill>
        </w:rPr>
        <w:t>2</w:t>
      </w:r>
      <w:r>
        <w:rPr>
          <w:rFonts w:hint="eastAsia" w:ascii="宋体" w:hAnsi="宋体" w:cs="宋体"/>
          <w:color w:val="000000" w:themeColor="text1"/>
          <w:szCs w:val="22"/>
          <w:highlight w:val="none"/>
          <w14:textFill>
            <w14:solidFill>
              <w14:schemeClr w14:val="tx1"/>
            </w14:solidFill>
          </w14:textFill>
        </w:rPr>
        <w:t>月</w:t>
      </w:r>
      <w:r>
        <w:rPr>
          <w:rFonts w:hint="eastAsia" w:ascii="宋体" w:hAnsi="宋体" w:cs="宋体"/>
          <w:color w:val="000000" w:themeColor="text1"/>
          <w:szCs w:val="22"/>
          <w:highlight w:val="none"/>
          <w:lang w:val="en-US" w:eastAsia="zh-CN"/>
          <w14:textFill>
            <w14:solidFill>
              <w14:schemeClr w14:val="tx1"/>
            </w14:solidFill>
          </w14:textFill>
        </w:rPr>
        <w:t>9</w:t>
      </w:r>
      <w:r>
        <w:rPr>
          <w:rFonts w:hint="eastAsia" w:ascii="宋体" w:hAnsi="宋体" w:cs="宋体"/>
          <w:color w:val="000000" w:themeColor="text1"/>
          <w:szCs w:val="22"/>
          <w:highlight w:val="none"/>
          <w14:textFill>
            <w14:solidFill>
              <w14:schemeClr w14:val="tx1"/>
            </w14:solidFill>
          </w14:textFill>
        </w:rPr>
        <w:t>日，每天上午08:30-11:30,下午14:00-17:30 （北京时间，法定节假日除外）</w:t>
      </w:r>
    </w:p>
    <w:p w14:paraId="1239EFB8">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2.地点：江苏政府采购网-苏采云</w:t>
      </w:r>
    </w:p>
    <w:p w14:paraId="53AE235C">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3.方式：投标人完成注册并办理CA证书后，登录江苏省政府采购管理交易系统（苏采云）（http://jszfcg.jsczt.cn/）获取本项目的招标文件及有关资料。</w:t>
      </w:r>
    </w:p>
    <w:p w14:paraId="5A8F5F21">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cs="宋体"/>
          <w:color w:val="000000" w:themeColor="text1"/>
          <w:szCs w:val="22"/>
          <w:highlight w:val="none"/>
          <w14:textFill>
            <w14:solidFill>
              <w14:schemeClr w14:val="tx1"/>
            </w14:solidFill>
          </w14:textFill>
        </w:rPr>
      </w:pPr>
      <w:bookmarkStart w:id="27" w:name="_Toc28359005"/>
      <w:bookmarkStart w:id="28" w:name="_Toc28359082"/>
      <w:bookmarkStart w:id="29" w:name="_Toc35393793"/>
      <w:bookmarkStart w:id="30" w:name="_Toc35393624"/>
      <w:r>
        <w:rPr>
          <w:rFonts w:hint="eastAsia" w:ascii="宋体" w:hAnsi="宋体" w:cs="宋体"/>
          <w:color w:val="000000" w:themeColor="text1"/>
          <w:szCs w:val="22"/>
          <w:highlight w:val="none"/>
          <w14:textFill>
            <w14:solidFill>
              <w14:schemeClr w14:val="tx1"/>
            </w14:solidFill>
          </w14:textFill>
        </w:rPr>
        <w:t>四、提交投标文件</w:t>
      </w:r>
      <w:bookmarkEnd w:id="27"/>
      <w:bookmarkEnd w:id="28"/>
      <w:r>
        <w:rPr>
          <w:rFonts w:hint="eastAsia" w:ascii="宋体" w:hAnsi="宋体" w:cs="宋体"/>
          <w:color w:val="000000" w:themeColor="text1"/>
          <w:szCs w:val="22"/>
          <w:highlight w:val="none"/>
          <w14:textFill>
            <w14:solidFill>
              <w14:schemeClr w14:val="tx1"/>
            </w14:solidFill>
          </w14:textFill>
        </w:rPr>
        <w:t>截止时间、开标时间和地点</w:t>
      </w:r>
      <w:bookmarkEnd w:id="29"/>
      <w:bookmarkEnd w:id="30"/>
      <w:bookmarkStart w:id="31" w:name="_Toc35393794"/>
      <w:bookmarkStart w:id="32" w:name="_Toc28359084"/>
      <w:bookmarkStart w:id="33" w:name="_Toc35393625"/>
      <w:bookmarkStart w:id="34" w:name="_Toc28359007"/>
    </w:p>
    <w:p w14:paraId="4941659B">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2025-12-</w:t>
      </w:r>
      <w:r>
        <w:rPr>
          <w:rFonts w:hint="eastAsia" w:ascii="宋体" w:hAnsi="宋体" w:cs="宋体"/>
          <w:color w:val="000000" w:themeColor="text1"/>
          <w:szCs w:val="22"/>
          <w:highlight w:val="none"/>
          <w:lang w:val="en-US" w:eastAsia="zh-CN"/>
          <w14:textFill>
            <w14:solidFill>
              <w14:schemeClr w14:val="tx1"/>
            </w14:solidFill>
          </w14:textFill>
        </w:rPr>
        <w:t>24</w:t>
      </w:r>
      <w:r>
        <w:rPr>
          <w:rFonts w:hint="eastAsia" w:ascii="宋体" w:hAnsi="宋体" w:cs="宋体"/>
          <w:color w:val="000000" w:themeColor="text1"/>
          <w:szCs w:val="22"/>
          <w:highlight w:val="none"/>
          <w14:textFill>
            <w14:solidFill>
              <w14:schemeClr w14:val="tx1"/>
            </w14:solidFill>
          </w14:textFill>
        </w:rPr>
        <w:t xml:space="preserve"> </w:t>
      </w:r>
      <w:r>
        <w:rPr>
          <w:rFonts w:hint="eastAsia" w:ascii="宋体" w:hAnsi="宋体" w:cs="宋体"/>
          <w:color w:val="000000" w:themeColor="text1"/>
          <w:szCs w:val="22"/>
          <w:highlight w:val="none"/>
          <w:lang w:val="en-US" w:eastAsia="zh-CN"/>
          <w14:textFill>
            <w14:solidFill>
              <w14:schemeClr w14:val="tx1"/>
            </w14:solidFill>
          </w14:textFill>
        </w:rPr>
        <w:t>14</w:t>
      </w:r>
      <w:r>
        <w:rPr>
          <w:rFonts w:hint="eastAsia" w:ascii="宋体" w:hAnsi="宋体" w:cs="宋体"/>
          <w:color w:val="000000" w:themeColor="text1"/>
          <w:szCs w:val="22"/>
          <w:highlight w:val="none"/>
          <w14:textFill>
            <w14:solidFill>
              <w14:schemeClr w14:val="tx1"/>
            </w14:solidFill>
          </w14:textFill>
        </w:rPr>
        <w:t>:</w:t>
      </w:r>
      <w:r>
        <w:rPr>
          <w:rFonts w:hint="eastAsia" w:ascii="宋体" w:hAnsi="宋体" w:cs="宋体"/>
          <w:color w:val="000000" w:themeColor="text1"/>
          <w:szCs w:val="22"/>
          <w:highlight w:val="none"/>
          <w:lang w:val="en-US" w:eastAsia="zh-CN"/>
          <w14:textFill>
            <w14:solidFill>
              <w14:schemeClr w14:val="tx1"/>
            </w14:solidFill>
          </w14:textFill>
        </w:rPr>
        <w:t>3</w:t>
      </w:r>
      <w:r>
        <w:rPr>
          <w:rFonts w:hint="eastAsia" w:ascii="宋体" w:hAnsi="宋体" w:cs="宋体"/>
          <w:color w:val="000000" w:themeColor="text1"/>
          <w:szCs w:val="22"/>
          <w:highlight w:val="none"/>
          <w14:textFill>
            <w14:solidFill>
              <w14:schemeClr w14:val="tx1"/>
            </w14:solidFill>
          </w14:textFill>
        </w:rPr>
        <w:t>0 （北京时间）</w:t>
      </w:r>
    </w:p>
    <w:p w14:paraId="6CE3C55F">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地点：“苏采云”系统“开标大厅”</w:t>
      </w:r>
    </w:p>
    <w:p w14:paraId="7917B416">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五、公告期限</w:t>
      </w:r>
      <w:bookmarkEnd w:id="31"/>
      <w:bookmarkEnd w:id="32"/>
      <w:bookmarkEnd w:id="33"/>
      <w:bookmarkEnd w:id="34"/>
    </w:p>
    <w:p w14:paraId="1D64A376">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自本公告发布之日起</w:t>
      </w:r>
      <w:r>
        <w:rPr>
          <w:rFonts w:ascii="宋体" w:hAnsi="宋体" w:cs="宋体"/>
          <w:color w:val="000000" w:themeColor="text1"/>
          <w:szCs w:val="22"/>
          <w:highlight w:val="none"/>
          <w14:textFill>
            <w14:solidFill>
              <w14:schemeClr w14:val="tx1"/>
            </w14:solidFill>
          </w14:textFill>
        </w:rPr>
        <w:t>5</w:t>
      </w:r>
      <w:r>
        <w:rPr>
          <w:rFonts w:hint="eastAsia" w:ascii="宋体" w:hAnsi="宋体" w:cs="宋体"/>
          <w:color w:val="000000" w:themeColor="text1"/>
          <w:szCs w:val="22"/>
          <w:highlight w:val="none"/>
          <w14:textFill>
            <w14:solidFill>
              <w14:schemeClr w14:val="tx1"/>
            </w14:solidFill>
          </w14:textFill>
        </w:rPr>
        <w:t>个工作日。</w:t>
      </w:r>
    </w:p>
    <w:p w14:paraId="38DF95E6">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cs="宋体"/>
          <w:color w:val="000000" w:themeColor="text1"/>
          <w:szCs w:val="22"/>
          <w:highlight w:val="none"/>
          <w14:textFill>
            <w14:solidFill>
              <w14:schemeClr w14:val="tx1"/>
            </w14:solidFill>
          </w14:textFill>
        </w:rPr>
      </w:pPr>
      <w:bookmarkStart w:id="35" w:name="_Toc35393626"/>
      <w:bookmarkStart w:id="36" w:name="_Toc35393795"/>
      <w:r>
        <w:rPr>
          <w:rFonts w:hint="eastAsia" w:ascii="宋体" w:hAnsi="宋体" w:cs="宋体"/>
          <w:color w:val="000000" w:themeColor="text1"/>
          <w:szCs w:val="22"/>
          <w:highlight w:val="none"/>
          <w14:textFill>
            <w14:solidFill>
              <w14:schemeClr w14:val="tx1"/>
            </w14:solidFill>
          </w14:textFill>
        </w:rPr>
        <w:t>六、其他补充事宜</w:t>
      </w:r>
      <w:bookmarkEnd w:id="35"/>
      <w:bookmarkEnd w:id="36"/>
    </w:p>
    <w:p w14:paraId="74865C96">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cs="宋体"/>
          <w:color w:val="000000" w:themeColor="text1"/>
          <w:szCs w:val="22"/>
          <w:highlight w:val="none"/>
          <w14:textFill>
            <w14:solidFill>
              <w14:schemeClr w14:val="tx1"/>
            </w14:solidFill>
          </w14:textFill>
        </w:rPr>
      </w:pPr>
      <w:r>
        <w:rPr>
          <w:rFonts w:ascii="宋体" w:hAnsi="宋体" w:cs="宋体"/>
          <w:color w:val="000000" w:themeColor="text1"/>
          <w:szCs w:val="22"/>
          <w:highlight w:val="none"/>
          <w14:textFill>
            <w14:solidFill>
              <w14:schemeClr w14:val="tx1"/>
            </w14:solidFill>
          </w14:textFill>
        </w:rPr>
        <w:t>1.</w:t>
      </w:r>
      <w:r>
        <w:rPr>
          <w:rFonts w:hint="eastAsia" w:ascii="宋体" w:hAnsi="宋体" w:cs="宋体"/>
          <w:color w:val="000000" w:themeColor="text1"/>
          <w:szCs w:val="22"/>
          <w:highlight w:val="none"/>
          <w14:textFill>
            <w14:solidFill>
              <w14:schemeClr w14:val="tx1"/>
            </w14:solidFill>
          </w14:textFill>
        </w:rPr>
        <w:t>投标保证金：无。</w:t>
      </w:r>
    </w:p>
    <w:p w14:paraId="619AE3FF">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2</w:t>
      </w:r>
      <w:r>
        <w:rPr>
          <w:rFonts w:ascii="宋体" w:hAnsi="宋体" w:cs="宋体"/>
          <w:color w:val="000000" w:themeColor="text1"/>
          <w:szCs w:val="22"/>
          <w:highlight w:val="none"/>
          <w14:textFill>
            <w14:solidFill>
              <w14:schemeClr w14:val="tx1"/>
            </w14:solidFill>
          </w14:textFill>
        </w:rPr>
        <w:t>.</w:t>
      </w:r>
      <w:r>
        <w:rPr>
          <w:rFonts w:hint="eastAsia" w:ascii="宋体" w:hAnsi="宋体" w:cs="宋体"/>
          <w:color w:val="000000" w:themeColor="text1"/>
          <w:szCs w:val="22"/>
          <w:highlight w:val="none"/>
          <w14:textFill>
            <w14:solidFill>
              <w14:schemeClr w14:val="tx1"/>
            </w14:solidFill>
          </w14:textFill>
        </w:rPr>
        <w:t>公告发布媒介：江苏政府采购网（</w:t>
      </w:r>
      <w:r>
        <w:rPr>
          <w:rFonts w:ascii="宋体" w:hAnsi="宋体" w:cs="宋体"/>
          <w:color w:val="000000" w:themeColor="text1"/>
          <w:szCs w:val="22"/>
          <w:highlight w:val="none"/>
          <w14:textFill>
            <w14:solidFill>
              <w14:schemeClr w14:val="tx1"/>
            </w14:solidFill>
          </w14:textFill>
        </w:rPr>
        <w:t>www.ccgp-jiangsu.gov.cn</w:t>
      </w:r>
      <w:r>
        <w:rPr>
          <w:rFonts w:hint="eastAsia" w:ascii="宋体" w:hAnsi="宋体" w:cs="宋体"/>
          <w:color w:val="000000" w:themeColor="text1"/>
          <w:szCs w:val="22"/>
          <w:highlight w:val="none"/>
          <w14:textFill>
            <w14:solidFill>
              <w14:schemeClr w14:val="tx1"/>
            </w14:solidFill>
          </w14:textFill>
        </w:rPr>
        <w:t>）。</w:t>
      </w:r>
    </w:p>
    <w:p w14:paraId="0E299112">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3.注意事项：</w:t>
      </w:r>
    </w:p>
    <w:p w14:paraId="6BAF1470">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p>
    <w:p w14:paraId="36AFEFAB">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2）本项目采用电子化投标，投标人应根据《江苏省政府采购管理交易系统（苏采云）投标人操作手册》（“泰州市政府采购网—下载中心”下载）规定，制作、上传电子投标文件（技术支持电话：0523-87633965、0523-86897512；客服QQ709339244、QQ：1810179072）。</w:t>
      </w:r>
    </w:p>
    <w:p w14:paraId="168A4B04">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（3）有关本次招标的事项若存在变动或修改，敬请及时关注“江苏政府采购网”发布的更正公告。</w:t>
      </w:r>
    </w:p>
    <w:p w14:paraId="526C8E67">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如潜在投标人未按上述要求操作，将自行承担所产生的风险。</w:t>
      </w:r>
    </w:p>
    <w:p w14:paraId="299FD6DE">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七、对本次招标提出询问，请按以下方式联系。</w:t>
      </w:r>
      <w:bookmarkEnd w:id="21"/>
      <w:bookmarkEnd w:id="22"/>
      <w:bookmarkEnd w:id="23"/>
      <w:bookmarkEnd w:id="24"/>
    </w:p>
    <w:p w14:paraId="7402C721">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1.采购人信息</w:t>
      </w:r>
    </w:p>
    <w:p w14:paraId="299E3DF1">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名 称：江苏省泰兴经济开发区管理委员会</w:t>
      </w:r>
    </w:p>
    <w:p w14:paraId="36BB1141">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地 址：泰兴市滨江镇福泰路1号</w:t>
      </w:r>
    </w:p>
    <w:p w14:paraId="4191C820">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联系方式：</w:t>
      </w:r>
      <w:r>
        <w:rPr>
          <w:rFonts w:ascii="宋体" w:hAnsi="宋体" w:cs="宋体"/>
          <w:color w:val="000000" w:themeColor="text1"/>
          <w:szCs w:val="22"/>
          <w:highlight w:val="none"/>
          <w14:textFill>
            <w14:solidFill>
              <w14:schemeClr w14:val="tx1"/>
            </w14:solidFill>
          </w14:textFill>
        </w:rPr>
        <w:t>19975155538</w:t>
      </w:r>
    </w:p>
    <w:p w14:paraId="10B7417B">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2.采购代理机构信息（如有）</w:t>
      </w:r>
    </w:p>
    <w:p w14:paraId="6157B498">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名 称：江苏国兴建设项目管理有限公司</w:t>
      </w:r>
    </w:p>
    <w:p w14:paraId="7CB80BCC">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地　址：泰兴市文昌东路62号</w:t>
      </w:r>
      <w:r>
        <w:rPr>
          <w:rFonts w:hint="eastAsia" w:ascii="宋体" w:hAnsi="宋体" w:cs="宋体"/>
          <w:color w:val="000000" w:themeColor="text1"/>
          <w:highlight w:val="none"/>
          <w14:textFill>
            <w14:solidFill>
              <w14:schemeClr w14:val="tx1"/>
            </w14:solidFill>
          </w14:textFill>
        </w:rPr>
        <w:t>十楼</w:t>
      </w:r>
    </w:p>
    <w:p w14:paraId="3BA9967B">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联系方式：</w:t>
      </w:r>
      <w:r>
        <w:rPr>
          <w:rFonts w:hint="eastAsia" w:ascii="宋体" w:hAnsi="宋体" w:cs="宋体"/>
          <w:color w:val="000000" w:themeColor="text1"/>
          <w:highlight w:val="none"/>
          <w14:textFill>
            <w14:solidFill>
              <w14:schemeClr w14:val="tx1"/>
            </w14:solidFill>
          </w14:textFill>
        </w:rPr>
        <w:t>17701421886</w:t>
      </w:r>
    </w:p>
    <w:p w14:paraId="73FED2CF">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3.项目联系方式</w:t>
      </w:r>
    </w:p>
    <w:p w14:paraId="11EA3F25">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项目联系人：江苏省泰兴经济开发区管理委员会   戚鹏程</w:t>
      </w:r>
    </w:p>
    <w:p w14:paraId="6285304D">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电　话：</w:t>
      </w:r>
      <w:r>
        <w:rPr>
          <w:rFonts w:ascii="宋体" w:hAnsi="宋体" w:cs="宋体"/>
          <w:color w:val="000000" w:themeColor="text1"/>
          <w:szCs w:val="22"/>
          <w:highlight w:val="none"/>
          <w14:textFill>
            <w14:solidFill>
              <w14:schemeClr w14:val="tx1"/>
            </w14:solidFill>
          </w14:textFill>
        </w:rPr>
        <w:t>19975155538</w:t>
      </w:r>
    </w:p>
    <w:p w14:paraId="2A9AED37">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项目联系人：江苏国兴建设项目管理有限公司  刘雪芬</w:t>
      </w:r>
    </w:p>
    <w:p w14:paraId="148B1865">
      <w:pPr>
        <w:widowControl/>
        <w:pBdr>
          <w:top w:val="none" w:color="000000" w:sz="0" w:space="0"/>
          <w:left w:val="none" w:color="000000" w:sz="0" w:space="0"/>
          <w:bottom w:val="none" w:color="000000" w:sz="0" w:space="0"/>
          <w:right w:val="none" w:color="000000" w:sz="0" w:space="0"/>
        </w:pBdr>
        <w:adjustRightInd/>
        <w:snapToGrid/>
        <w:spacing w:line="479" w:lineRule="atLeast"/>
        <w:ind w:firstLine="240" w:firstLineChars="0"/>
        <w:jc w:val="both"/>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电　话：</w:t>
      </w:r>
      <w:r>
        <w:rPr>
          <w:rFonts w:hint="eastAsia" w:ascii="宋体" w:hAnsi="宋体" w:cs="宋体"/>
          <w:color w:val="000000" w:themeColor="text1"/>
          <w:highlight w:val="none"/>
          <w14:textFill>
            <w14:solidFill>
              <w14:schemeClr w14:val="tx1"/>
            </w14:solidFill>
          </w14:textFill>
        </w:rPr>
        <w:t>17701421886</w:t>
      </w:r>
    </w:p>
    <w:p w14:paraId="3733A41F">
      <w:pPr>
        <w:widowControl/>
        <w:pBdr>
          <w:top w:val="none" w:color="000000" w:sz="0" w:space="0"/>
          <w:left w:val="none" w:color="000000" w:sz="0" w:space="0"/>
          <w:bottom w:val="none" w:color="000000" w:sz="0" w:space="0"/>
          <w:right w:val="none" w:color="000000" w:sz="0" w:space="0"/>
        </w:pBdr>
        <w:adjustRightInd/>
        <w:snapToGrid/>
        <w:spacing w:before="240" w:after="240" w:line="499" w:lineRule="atLeast"/>
        <w:ind w:firstLine="301" w:firstLineChars="0"/>
        <w:rPr>
          <w:rFonts w:hint="eastAsia" w:ascii="宋体" w:hAnsi="宋体" w:cs="宋体"/>
          <w:b/>
          <w:color w:val="000000" w:themeColor="text1"/>
          <w:sz w:val="30"/>
          <w:szCs w:val="22"/>
          <w:highlight w:val="none"/>
          <w14:textFill>
            <w14:solidFill>
              <w14:schemeClr w14:val="tx1"/>
            </w14:solidFill>
          </w14:textFill>
        </w:rPr>
      </w:pPr>
      <w:bookmarkStart w:id="37" w:name="_Toc426469869"/>
      <w:bookmarkStart w:id="38" w:name="_Toc479757206"/>
      <w:bookmarkStart w:id="39" w:name="_Toc382812472"/>
      <w:bookmarkStart w:id="40" w:name="_Toc523127445"/>
      <w:bookmarkStart w:id="41" w:name="_Toc382813885"/>
      <w:bookmarkStart w:id="42" w:name="_Toc16938516"/>
      <w:bookmarkStart w:id="43" w:name="_Toc382813966"/>
      <w:bookmarkStart w:id="44" w:name="_Toc513029200"/>
      <w:bookmarkStart w:id="45" w:name="_Toc20823272"/>
      <w:r>
        <w:rPr>
          <w:color w:val="000000" w:themeColor="text1"/>
          <w:highlight w:val="none"/>
          <w14:textFill>
            <w14:solidFill>
              <w14:schemeClr w14:val="tx1"/>
            </w14:solidFill>
          </w14:textFill>
        </w:rPr>
        <w:br w:type="page"/>
      </w:r>
      <w:r>
        <w:rPr>
          <w:rFonts w:hint="eastAsia" w:ascii="宋体" w:hAnsi="宋体" w:cs="宋体"/>
          <w:b/>
          <w:color w:val="000000" w:themeColor="text1"/>
          <w:sz w:val="30"/>
          <w:szCs w:val="22"/>
          <w:highlight w:val="none"/>
          <w14:textFill>
            <w14:solidFill>
              <w14:schemeClr w14:val="tx1"/>
            </w14:solidFill>
          </w14:textFill>
        </w:rPr>
        <w:t>第二章 投标人须知</w:t>
      </w:r>
      <w:bookmarkEnd w:id="37"/>
    </w:p>
    <w:p w14:paraId="532C1366">
      <w:pPr>
        <w:jc w:val="left"/>
        <w:rPr>
          <w:color w:val="000000" w:themeColor="text1"/>
          <w:highlight w:val="none"/>
          <w14:textFill>
            <w14:solidFill>
              <w14:schemeClr w14:val="tx1"/>
            </w14:solidFill>
          </w14:textFill>
        </w:rPr>
      </w:pPr>
      <w:bookmarkStart w:id="46" w:name="_Toc426469870"/>
      <w:r>
        <w:rPr>
          <w:rFonts w:hint="eastAsia"/>
          <w:color w:val="000000" w:themeColor="text1"/>
          <w:highlight w:val="none"/>
          <w14:textFill>
            <w14:solidFill>
              <w14:schemeClr w14:val="tx1"/>
            </w14:solidFill>
          </w14:textFill>
        </w:rPr>
        <w:t>投标人须知前附表</w:t>
      </w:r>
      <w:bookmarkEnd w:id="46"/>
    </w:p>
    <w:tbl>
      <w:tblPr>
        <w:tblStyle w:val="22"/>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9"/>
        <w:gridCol w:w="1954"/>
        <w:gridCol w:w="6585"/>
      </w:tblGrid>
      <w:tr w14:paraId="3DC2B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089" w:type="dxa"/>
            <w:vAlign w:val="center"/>
          </w:tcPr>
          <w:p w14:paraId="5CF11D99">
            <w:pPr>
              <w:widowControl/>
              <w:pBdr>
                <w:top w:val="none" w:color="000000" w:sz="0" w:space="0"/>
                <w:left w:val="none" w:color="000000" w:sz="0" w:space="0"/>
                <w:bottom w:val="none" w:color="000000" w:sz="0" w:space="0"/>
                <w:right w:val="none" w:color="000000" w:sz="0" w:space="0"/>
              </w:pBdr>
              <w:adjustRightInd/>
              <w:snapToGrid/>
              <w:spacing w:line="360" w:lineRule="atLeast"/>
              <w:ind w:firstLine="221" w:firstLineChars="0"/>
              <w:rPr>
                <w:rFonts w:hint="eastAsia" w:ascii="宋体" w:hAnsi="宋体" w:cs="宋体"/>
                <w:b/>
                <w:color w:val="000000" w:themeColor="text1"/>
                <w:sz w:val="22"/>
                <w:szCs w:val="22"/>
                <w:highlight w:val="none"/>
                <w:lang w:eastAsia="en-US"/>
                <w14:textFill>
                  <w14:solidFill>
                    <w14:schemeClr w14:val="tx1"/>
                  </w14:solidFill>
                </w14:textFill>
              </w:rPr>
            </w:pPr>
            <w:r>
              <w:rPr>
                <w:rFonts w:hint="eastAsia" w:ascii="宋体" w:hAnsi="宋体" w:cs="宋体"/>
                <w:b/>
                <w:color w:val="000000" w:themeColor="text1"/>
                <w:sz w:val="22"/>
                <w:szCs w:val="22"/>
                <w:highlight w:val="none"/>
                <w:lang w:eastAsia="en-US"/>
                <w14:textFill>
                  <w14:solidFill>
                    <w14:schemeClr w14:val="tx1"/>
                  </w14:solidFill>
                </w14:textFill>
              </w:rPr>
              <w:t>条款号</w:t>
            </w:r>
          </w:p>
        </w:tc>
        <w:tc>
          <w:tcPr>
            <w:tcW w:w="1954" w:type="dxa"/>
            <w:vAlign w:val="center"/>
          </w:tcPr>
          <w:p w14:paraId="290965DA">
            <w:pPr>
              <w:widowControl/>
              <w:pBdr>
                <w:top w:val="none" w:color="000000" w:sz="0" w:space="0"/>
                <w:left w:val="none" w:color="000000" w:sz="0" w:space="0"/>
                <w:bottom w:val="none" w:color="000000" w:sz="0" w:space="0"/>
                <w:right w:val="none" w:color="000000" w:sz="0" w:space="0"/>
              </w:pBdr>
              <w:adjustRightInd/>
              <w:snapToGrid/>
              <w:spacing w:line="360" w:lineRule="atLeast"/>
              <w:ind w:firstLine="221" w:firstLineChars="0"/>
              <w:rPr>
                <w:rFonts w:hint="eastAsia" w:ascii="宋体" w:hAnsi="宋体" w:cs="宋体"/>
                <w:b/>
                <w:color w:val="000000" w:themeColor="text1"/>
                <w:sz w:val="22"/>
                <w:szCs w:val="22"/>
                <w:highlight w:val="none"/>
                <w:lang w:eastAsia="en-US"/>
                <w14:textFill>
                  <w14:solidFill>
                    <w14:schemeClr w14:val="tx1"/>
                  </w14:solidFill>
                </w14:textFill>
              </w:rPr>
            </w:pPr>
            <w:r>
              <w:rPr>
                <w:rFonts w:hint="eastAsia" w:ascii="宋体" w:hAnsi="宋体" w:cs="宋体"/>
                <w:b/>
                <w:color w:val="000000" w:themeColor="text1"/>
                <w:sz w:val="22"/>
                <w:szCs w:val="22"/>
                <w:highlight w:val="none"/>
                <w:lang w:eastAsia="en-US"/>
                <w14:textFill>
                  <w14:solidFill>
                    <w14:schemeClr w14:val="tx1"/>
                  </w14:solidFill>
                </w14:textFill>
              </w:rPr>
              <w:t>条款名称</w:t>
            </w:r>
          </w:p>
        </w:tc>
        <w:tc>
          <w:tcPr>
            <w:tcW w:w="6585" w:type="dxa"/>
            <w:vAlign w:val="center"/>
          </w:tcPr>
          <w:p w14:paraId="68952BEB">
            <w:pPr>
              <w:widowControl/>
              <w:pBdr>
                <w:top w:val="none" w:color="000000" w:sz="0" w:space="0"/>
                <w:left w:val="none" w:color="000000" w:sz="0" w:space="0"/>
                <w:bottom w:val="none" w:color="000000" w:sz="0" w:space="0"/>
                <w:right w:val="none" w:color="000000" w:sz="0" w:space="0"/>
              </w:pBdr>
              <w:adjustRightInd/>
              <w:snapToGrid/>
              <w:spacing w:line="360" w:lineRule="atLeast"/>
              <w:ind w:firstLine="221" w:firstLineChars="0"/>
              <w:rPr>
                <w:rFonts w:hint="eastAsia" w:ascii="宋体" w:hAnsi="宋体" w:cs="宋体"/>
                <w:b/>
                <w:color w:val="000000" w:themeColor="text1"/>
                <w:sz w:val="22"/>
                <w:szCs w:val="22"/>
                <w:highlight w:val="none"/>
                <w:lang w:eastAsia="en-US"/>
                <w14:textFill>
                  <w14:solidFill>
                    <w14:schemeClr w14:val="tx1"/>
                  </w14:solidFill>
                </w14:textFill>
              </w:rPr>
            </w:pPr>
            <w:r>
              <w:rPr>
                <w:rFonts w:hint="eastAsia" w:ascii="宋体" w:hAnsi="宋体" w:cs="宋体"/>
                <w:b/>
                <w:color w:val="000000" w:themeColor="text1"/>
                <w:sz w:val="22"/>
                <w:szCs w:val="22"/>
                <w:highlight w:val="none"/>
                <w:lang w:eastAsia="en-US"/>
                <w14:textFill>
                  <w14:solidFill>
                    <w14:schemeClr w14:val="tx1"/>
                  </w14:solidFill>
                </w14:textFill>
              </w:rPr>
              <w:t>编列内容</w:t>
            </w:r>
          </w:p>
        </w:tc>
      </w:tr>
      <w:tr w14:paraId="273E0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3" w:hRule="atLeast"/>
          <w:jc w:val="center"/>
        </w:trPr>
        <w:tc>
          <w:tcPr>
            <w:tcW w:w="1089" w:type="dxa"/>
            <w:vAlign w:val="center"/>
          </w:tcPr>
          <w:p w14:paraId="7275C7B3">
            <w:pPr>
              <w:widowControl/>
              <w:pBdr>
                <w:top w:val="none" w:color="000000" w:sz="0" w:space="0"/>
                <w:left w:val="none" w:color="000000" w:sz="0" w:space="0"/>
                <w:bottom w:val="none" w:color="000000" w:sz="0" w:space="0"/>
                <w:right w:val="none" w:color="000000" w:sz="0" w:space="0"/>
              </w:pBdr>
              <w:adjustRightInd/>
              <w:snapToGrid/>
              <w:spacing w:line="360" w:lineRule="atLeast"/>
              <w:ind w:firstLine="21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ascii="宋体" w:hAnsi="宋体" w:cs="宋体"/>
                <w:color w:val="000000" w:themeColor="text1"/>
                <w:sz w:val="21"/>
                <w:szCs w:val="22"/>
                <w:highlight w:val="none"/>
                <w:lang w:eastAsia="en-US"/>
                <w14:textFill>
                  <w14:solidFill>
                    <w14:schemeClr w14:val="tx1"/>
                  </w14:solidFill>
                </w14:textFill>
              </w:rPr>
              <w:t>1.1.2</w:t>
            </w:r>
          </w:p>
        </w:tc>
        <w:tc>
          <w:tcPr>
            <w:tcW w:w="1954" w:type="dxa"/>
            <w:vAlign w:val="center"/>
          </w:tcPr>
          <w:p w14:paraId="2B7B0667">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采购人</w:t>
            </w:r>
          </w:p>
        </w:tc>
        <w:tc>
          <w:tcPr>
            <w:tcW w:w="6585" w:type="dxa"/>
            <w:vAlign w:val="center"/>
          </w:tcPr>
          <w:p w14:paraId="29B1784F">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名 称：江苏省泰兴经济开发区管理委员会</w:t>
            </w:r>
          </w:p>
          <w:p w14:paraId="18612ED7">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地 址：泰兴市滨江镇福泰路1号</w:t>
            </w:r>
          </w:p>
          <w:p w14:paraId="634EB429">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联系人：戚鹏程</w:t>
            </w:r>
          </w:p>
          <w:p w14:paraId="5D6282BA">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联系电话：</w:t>
            </w:r>
            <w:r>
              <w:rPr>
                <w:rFonts w:ascii="宋体" w:hAnsi="宋体" w:cs="宋体"/>
                <w:color w:val="000000" w:themeColor="text1"/>
                <w:sz w:val="21"/>
                <w:szCs w:val="22"/>
                <w:highlight w:val="none"/>
                <w14:textFill>
                  <w14:solidFill>
                    <w14:schemeClr w14:val="tx1"/>
                  </w14:solidFill>
                </w14:textFill>
              </w:rPr>
              <w:t>19975155538</w:t>
            </w:r>
          </w:p>
        </w:tc>
      </w:tr>
      <w:tr w14:paraId="6688C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jc w:val="center"/>
        </w:trPr>
        <w:tc>
          <w:tcPr>
            <w:tcW w:w="1089" w:type="dxa"/>
            <w:vAlign w:val="center"/>
          </w:tcPr>
          <w:p w14:paraId="10AF7DCD">
            <w:pPr>
              <w:widowControl/>
              <w:pBdr>
                <w:top w:val="none" w:color="000000" w:sz="0" w:space="0"/>
                <w:left w:val="none" w:color="000000" w:sz="0" w:space="0"/>
                <w:bottom w:val="none" w:color="000000" w:sz="0" w:space="0"/>
                <w:right w:val="none" w:color="000000" w:sz="0" w:space="0"/>
              </w:pBdr>
              <w:adjustRightInd/>
              <w:snapToGrid/>
              <w:spacing w:line="360" w:lineRule="atLeast"/>
              <w:ind w:firstLine="21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ascii="宋体" w:hAnsi="宋体" w:cs="宋体"/>
                <w:color w:val="000000" w:themeColor="text1"/>
                <w:sz w:val="21"/>
                <w:szCs w:val="22"/>
                <w:highlight w:val="none"/>
                <w:lang w:eastAsia="en-US"/>
                <w14:textFill>
                  <w14:solidFill>
                    <w14:schemeClr w14:val="tx1"/>
                  </w14:solidFill>
                </w14:textFill>
              </w:rPr>
              <w:t>1.1.3</w:t>
            </w:r>
          </w:p>
        </w:tc>
        <w:tc>
          <w:tcPr>
            <w:tcW w:w="1954" w:type="dxa"/>
            <w:vAlign w:val="center"/>
          </w:tcPr>
          <w:p w14:paraId="3779CFDB">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采购代理机构</w:t>
            </w:r>
          </w:p>
        </w:tc>
        <w:tc>
          <w:tcPr>
            <w:tcW w:w="6585" w:type="dxa"/>
            <w:vAlign w:val="center"/>
          </w:tcPr>
          <w:p w14:paraId="5727C8BE">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名称：江苏国兴建设项目管理有限公司</w:t>
            </w:r>
          </w:p>
          <w:p w14:paraId="2C4D061A">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地址：泰兴市文昌东路62号十楼</w:t>
            </w:r>
          </w:p>
          <w:p w14:paraId="21EFEE8F">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联系人：刘雪芬</w:t>
            </w:r>
          </w:p>
          <w:p w14:paraId="0C9FB8FF">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联系电话：17701421886</w:t>
            </w:r>
          </w:p>
        </w:tc>
      </w:tr>
      <w:tr w14:paraId="7E658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1089" w:type="dxa"/>
            <w:vAlign w:val="center"/>
          </w:tcPr>
          <w:p w14:paraId="287A397A">
            <w:pPr>
              <w:widowControl/>
              <w:pBdr>
                <w:top w:val="none" w:color="000000" w:sz="0" w:space="0"/>
                <w:left w:val="none" w:color="000000" w:sz="0" w:space="0"/>
                <w:bottom w:val="none" w:color="000000" w:sz="0" w:space="0"/>
                <w:right w:val="none" w:color="000000" w:sz="0" w:space="0"/>
              </w:pBdr>
              <w:adjustRightInd/>
              <w:snapToGrid/>
              <w:spacing w:line="360" w:lineRule="atLeast"/>
              <w:ind w:firstLine="21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ascii="宋体" w:hAnsi="宋体" w:cs="宋体"/>
                <w:color w:val="000000" w:themeColor="text1"/>
                <w:sz w:val="21"/>
                <w:szCs w:val="22"/>
                <w:highlight w:val="none"/>
                <w:lang w:eastAsia="en-US"/>
                <w14:textFill>
                  <w14:solidFill>
                    <w14:schemeClr w14:val="tx1"/>
                  </w14:solidFill>
                </w14:textFill>
              </w:rPr>
              <w:t>1.1.4</w:t>
            </w:r>
          </w:p>
        </w:tc>
        <w:tc>
          <w:tcPr>
            <w:tcW w:w="1954" w:type="dxa"/>
            <w:vAlign w:val="center"/>
          </w:tcPr>
          <w:p w14:paraId="73FBB391">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项目名称及项目编号</w:t>
            </w:r>
          </w:p>
        </w:tc>
        <w:tc>
          <w:tcPr>
            <w:tcW w:w="6585" w:type="dxa"/>
            <w:vAlign w:val="center"/>
          </w:tcPr>
          <w:p w14:paraId="1A24AF00">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项目名称：智慧园区环保监测监控平台水质监测站点运维服务项目</w:t>
            </w:r>
          </w:p>
          <w:p w14:paraId="0C5A4714">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项目编号：</w:t>
            </w:r>
            <w:r>
              <w:rPr>
                <w:rFonts w:hint="eastAsia" w:ascii="宋体" w:hAnsi="宋体" w:cs="宋体"/>
                <w:color w:val="000000" w:themeColor="text1"/>
                <w:sz w:val="21"/>
                <w:szCs w:val="22"/>
                <w:highlight w:val="none"/>
                <w14:textFill>
                  <w14:solidFill>
                    <w14:schemeClr w14:val="tx1"/>
                  </w14:solidFill>
                </w14:textFill>
              </w:rPr>
              <w:t>JSZC-321283-GXGL-G2025-0049</w:t>
            </w:r>
          </w:p>
        </w:tc>
      </w:tr>
      <w:tr w14:paraId="2FFF7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089" w:type="dxa"/>
            <w:vAlign w:val="center"/>
          </w:tcPr>
          <w:p w14:paraId="17F743CA">
            <w:pPr>
              <w:widowControl/>
              <w:pBdr>
                <w:top w:val="none" w:color="000000" w:sz="0" w:space="0"/>
                <w:left w:val="none" w:color="000000" w:sz="0" w:space="0"/>
                <w:bottom w:val="none" w:color="000000" w:sz="0" w:space="0"/>
                <w:right w:val="none" w:color="000000" w:sz="0" w:space="0"/>
              </w:pBdr>
              <w:adjustRightInd/>
              <w:snapToGrid/>
              <w:spacing w:line="360" w:lineRule="atLeast"/>
              <w:ind w:firstLine="21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ascii="宋体" w:hAnsi="宋体" w:cs="宋体"/>
                <w:color w:val="000000" w:themeColor="text1"/>
                <w:sz w:val="21"/>
                <w:szCs w:val="22"/>
                <w:highlight w:val="none"/>
                <w:lang w:eastAsia="en-US"/>
                <w14:textFill>
                  <w14:solidFill>
                    <w14:schemeClr w14:val="tx1"/>
                  </w14:solidFill>
                </w14:textFill>
              </w:rPr>
              <w:t>1.2.</w:t>
            </w:r>
            <w:r>
              <w:rPr>
                <w:rFonts w:hint="eastAsia" w:ascii="宋体" w:hAnsi="宋体" w:cs="宋体"/>
                <w:color w:val="000000" w:themeColor="text1"/>
                <w:sz w:val="21"/>
                <w:szCs w:val="22"/>
                <w:highlight w:val="none"/>
                <w:lang w:eastAsia="en-US"/>
                <w14:textFill>
                  <w14:solidFill>
                    <w14:schemeClr w14:val="tx1"/>
                  </w14:solidFill>
                </w14:textFill>
              </w:rPr>
              <w:t>1</w:t>
            </w:r>
          </w:p>
        </w:tc>
        <w:tc>
          <w:tcPr>
            <w:tcW w:w="1954" w:type="dxa"/>
            <w:vAlign w:val="center"/>
          </w:tcPr>
          <w:p w14:paraId="03F06DAF">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付款方式</w:t>
            </w:r>
          </w:p>
        </w:tc>
        <w:tc>
          <w:tcPr>
            <w:tcW w:w="6585" w:type="dxa"/>
            <w:vAlign w:val="center"/>
          </w:tcPr>
          <w:p w14:paraId="39AC891F">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1、1套微型水质自动监测站采购费用支付：合同签订生效后，全部的设备均需原厂包装免费送至采购单位指定地点且安装调试完毕并通过招标人验收合格后付设备总价。</w:t>
            </w:r>
          </w:p>
          <w:p w14:paraId="5F35DA2A">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2、9套电极法微型水质自动监测站、3套国标法微型水质自动监测站及1套微型水质监测站运维费用支付：分三次支付，合同签订后支付20%，后续分两年运维考核后支付，每年40%，每年运维到期后，根据考核结果，支付当期运维所得考核评分对应款项。</w:t>
            </w:r>
          </w:p>
        </w:tc>
      </w:tr>
      <w:tr w14:paraId="5FAF8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089" w:type="dxa"/>
            <w:vAlign w:val="center"/>
          </w:tcPr>
          <w:p w14:paraId="76BF3212">
            <w:pPr>
              <w:widowControl/>
              <w:pBdr>
                <w:top w:val="none" w:color="000000" w:sz="0" w:space="0"/>
                <w:left w:val="none" w:color="000000" w:sz="0" w:space="0"/>
                <w:bottom w:val="none" w:color="000000" w:sz="0" w:space="0"/>
                <w:right w:val="none" w:color="000000" w:sz="0" w:space="0"/>
              </w:pBdr>
              <w:adjustRightInd/>
              <w:snapToGrid/>
              <w:spacing w:line="360" w:lineRule="atLeast"/>
              <w:ind w:firstLine="21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ascii="宋体" w:hAnsi="宋体" w:cs="宋体"/>
                <w:color w:val="000000" w:themeColor="text1"/>
                <w:sz w:val="21"/>
                <w:szCs w:val="22"/>
                <w:highlight w:val="none"/>
                <w:lang w:eastAsia="en-US"/>
                <w14:textFill>
                  <w14:solidFill>
                    <w14:schemeClr w14:val="tx1"/>
                  </w14:solidFill>
                </w14:textFill>
              </w:rPr>
              <w:t>1.3.1</w:t>
            </w:r>
          </w:p>
        </w:tc>
        <w:tc>
          <w:tcPr>
            <w:tcW w:w="1954" w:type="dxa"/>
            <w:vAlign w:val="center"/>
          </w:tcPr>
          <w:p w14:paraId="1FF0DFBE">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采购范围</w:t>
            </w:r>
          </w:p>
        </w:tc>
        <w:tc>
          <w:tcPr>
            <w:tcW w:w="6585" w:type="dxa"/>
            <w:vAlign w:val="center"/>
          </w:tcPr>
          <w:p w14:paraId="76C43198">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见采购需求</w:t>
            </w:r>
          </w:p>
        </w:tc>
      </w:tr>
      <w:tr w14:paraId="1EABA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089" w:type="dxa"/>
            <w:vAlign w:val="center"/>
          </w:tcPr>
          <w:p w14:paraId="6D22ED76">
            <w:pPr>
              <w:widowControl/>
              <w:pBdr>
                <w:top w:val="none" w:color="000000" w:sz="0" w:space="0"/>
                <w:left w:val="none" w:color="000000" w:sz="0" w:space="0"/>
                <w:bottom w:val="none" w:color="000000" w:sz="0" w:space="0"/>
                <w:right w:val="none" w:color="000000" w:sz="0" w:space="0"/>
              </w:pBdr>
              <w:adjustRightInd/>
              <w:snapToGrid/>
              <w:spacing w:line="360" w:lineRule="atLeast"/>
              <w:ind w:firstLine="21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ascii="宋体" w:hAnsi="宋体" w:cs="宋体"/>
                <w:color w:val="000000" w:themeColor="text1"/>
                <w:sz w:val="21"/>
                <w:szCs w:val="22"/>
                <w:highlight w:val="none"/>
                <w:lang w:eastAsia="en-US"/>
                <w14:textFill>
                  <w14:solidFill>
                    <w14:schemeClr w14:val="tx1"/>
                  </w14:solidFill>
                </w14:textFill>
              </w:rPr>
              <w:t>1.3.2</w:t>
            </w:r>
          </w:p>
        </w:tc>
        <w:tc>
          <w:tcPr>
            <w:tcW w:w="1954" w:type="dxa"/>
            <w:vAlign w:val="center"/>
          </w:tcPr>
          <w:p w14:paraId="6FFCAE84">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合同履行期限</w:t>
            </w:r>
          </w:p>
        </w:tc>
        <w:tc>
          <w:tcPr>
            <w:tcW w:w="6585" w:type="dxa"/>
            <w:vAlign w:val="center"/>
          </w:tcPr>
          <w:p w14:paraId="4BBFF876">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见招标公告</w:t>
            </w:r>
          </w:p>
        </w:tc>
      </w:tr>
      <w:tr w14:paraId="6C349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1089" w:type="dxa"/>
            <w:vAlign w:val="center"/>
          </w:tcPr>
          <w:p w14:paraId="392A1276">
            <w:pPr>
              <w:widowControl/>
              <w:pBdr>
                <w:top w:val="none" w:color="000000" w:sz="0" w:space="0"/>
                <w:left w:val="none" w:color="000000" w:sz="0" w:space="0"/>
                <w:bottom w:val="none" w:color="000000" w:sz="0" w:space="0"/>
                <w:right w:val="none" w:color="000000" w:sz="0" w:space="0"/>
              </w:pBdr>
              <w:adjustRightInd/>
              <w:snapToGrid/>
              <w:spacing w:line="360" w:lineRule="atLeast"/>
              <w:ind w:firstLine="21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ascii="宋体" w:hAnsi="宋体" w:cs="宋体"/>
                <w:color w:val="000000" w:themeColor="text1"/>
                <w:sz w:val="21"/>
                <w:szCs w:val="22"/>
                <w:highlight w:val="none"/>
                <w:lang w:eastAsia="en-US"/>
                <w14:textFill>
                  <w14:solidFill>
                    <w14:schemeClr w14:val="tx1"/>
                  </w14:solidFill>
                </w14:textFill>
              </w:rPr>
              <w:t>1.4.2</w:t>
            </w:r>
          </w:p>
        </w:tc>
        <w:tc>
          <w:tcPr>
            <w:tcW w:w="1954" w:type="dxa"/>
            <w:vAlign w:val="center"/>
          </w:tcPr>
          <w:p w14:paraId="1E130CDD">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要求投标人具备的特定条件</w:t>
            </w:r>
          </w:p>
        </w:tc>
        <w:tc>
          <w:tcPr>
            <w:tcW w:w="6585" w:type="dxa"/>
            <w:vAlign w:val="center"/>
          </w:tcPr>
          <w:p w14:paraId="5BE14583">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见招标公告</w:t>
            </w:r>
          </w:p>
        </w:tc>
      </w:tr>
      <w:tr w14:paraId="6B263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089" w:type="dxa"/>
            <w:vAlign w:val="center"/>
          </w:tcPr>
          <w:p w14:paraId="39189152">
            <w:pPr>
              <w:widowControl/>
              <w:pBdr>
                <w:top w:val="none" w:color="000000" w:sz="0" w:space="0"/>
                <w:left w:val="none" w:color="000000" w:sz="0" w:space="0"/>
                <w:bottom w:val="none" w:color="000000" w:sz="0" w:space="0"/>
                <w:right w:val="none" w:color="000000" w:sz="0" w:space="0"/>
              </w:pBdr>
              <w:adjustRightInd/>
              <w:snapToGrid/>
              <w:spacing w:line="360" w:lineRule="atLeast"/>
              <w:ind w:firstLine="21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ascii="宋体" w:hAnsi="宋体" w:cs="宋体"/>
                <w:color w:val="000000" w:themeColor="text1"/>
                <w:sz w:val="21"/>
                <w:szCs w:val="22"/>
                <w:highlight w:val="none"/>
                <w:lang w:eastAsia="en-US"/>
                <w14:textFill>
                  <w14:solidFill>
                    <w14:schemeClr w14:val="tx1"/>
                  </w14:solidFill>
                </w14:textFill>
              </w:rPr>
              <w:t>1.</w:t>
            </w:r>
            <w:r>
              <w:rPr>
                <w:rFonts w:hint="eastAsia" w:ascii="宋体" w:hAnsi="宋体" w:cs="宋体"/>
                <w:color w:val="000000" w:themeColor="text1"/>
                <w:sz w:val="21"/>
                <w:szCs w:val="22"/>
                <w:highlight w:val="none"/>
                <w:lang w:eastAsia="en-US"/>
                <w14:textFill>
                  <w14:solidFill>
                    <w14:schemeClr w14:val="tx1"/>
                  </w14:solidFill>
                </w14:textFill>
              </w:rPr>
              <w:t>8</w:t>
            </w:r>
            <w:r>
              <w:rPr>
                <w:rFonts w:ascii="宋体" w:hAnsi="宋体" w:cs="宋体"/>
                <w:color w:val="000000" w:themeColor="text1"/>
                <w:sz w:val="21"/>
                <w:szCs w:val="22"/>
                <w:highlight w:val="none"/>
                <w:lang w:eastAsia="en-US"/>
                <w14:textFill>
                  <w14:solidFill>
                    <w14:schemeClr w14:val="tx1"/>
                  </w14:solidFill>
                </w14:textFill>
              </w:rPr>
              <w:t>.2</w:t>
            </w:r>
          </w:p>
        </w:tc>
        <w:tc>
          <w:tcPr>
            <w:tcW w:w="1954" w:type="dxa"/>
            <w:vAlign w:val="center"/>
          </w:tcPr>
          <w:p w14:paraId="7E8BC8D5">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偏离</w:t>
            </w:r>
          </w:p>
        </w:tc>
        <w:tc>
          <w:tcPr>
            <w:tcW w:w="6585" w:type="dxa"/>
            <w:vAlign w:val="center"/>
          </w:tcPr>
          <w:p w14:paraId="53A48F9C">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bookmarkStart w:id="47" w:name="FEfe800446baa24252acf6b14953dc4897"/>
            <w:bookmarkEnd w:id="47"/>
            <w:bookmarkStart w:id="48" w:name="FBfe800446baa24252acf6b14953dc4897"/>
            <w:bookmarkEnd w:id="48"/>
            <w:r>
              <w:rPr>
                <w:rFonts w:hint="eastAsia" w:ascii="宋体" w:hAnsi="宋体" w:cs="宋体"/>
                <w:color w:val="000000" w:themeColor="text1"/>
                <w:sz w:val="21"/>
                <w:szCs w:val="22"/>
                <w:highlight w:val="none"/>
                <w14:textFill>
                  <w14:solidFill>
                    <w14:schemeClr w14:val="tx1"/>
                  </w14:solidFill>
                </w14:textFill>
              </w:rPr>
              <w:t>供应商应仔细阅读采购需求和评标办法，结合自身的实际情况，如实填写采购需求响应表。</w:t>
            </w:r>
          </w:p>
        </w:tc>
      </w:tr>
      <w:tr w14:paraId="3A02A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vAlign w:val="center"/>
          </w:tcPr>
          <w:p w14:paraId="339E4166">
            <w:pPr>
              <w:widowControl/>
              <w:pBdr>
                <w:top w:val="none" w:color="000000" w:sz="0" w:space="0"/>
                <w:left w:val="none" w:color="000000" w:sz="0" w:space="0"/>
                <w:bottom w:val="none" w:color="000000" w:sz="0" w:space="0"/>
                <w:right w:val="none" w:color="000000" w:sz="0" w:space="0"/>
              </w:pBdr>
              <w:adjustRightInd/>
              <w:snapToGrid/>
              <w:spacing w:line="360" w:lineRule="atLeast"/>
              <w:ind w:firstLine="21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ascii="宋体" w:hAnsi="宋体" w:cs="宋体"/>
                <w:color w:val="000000" w:themeColor="text1"/>
                <w:sz w:val="21"/>
                <w:szCs w:val="22"/>
                <w:highlight w:val="none"/>
                <w:lang w:eastAsia="en-US"/>
                <w14:textFill>
                  <w14:solidFill>
                    <w14:schemeClr w14:val="tx1"/>
                  </w14:solidFill>
                </w14:textFill>
              </w:rPr>
              <w:t>2.1</w:t>
            </w:r>
          </w:p>
        </w:tc>
        <w:tc>
          <w:tcPr>
            <w:tcW w:w="1954" w:type="dxa"/>
            <w:vAlign w:val="center"/>
          </w:tcPr>
          <w:p w14:paraId="593FBEB2">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构成招标文件的其他材料</w:t>
            </w:r>
          </w:p>
        </w:tc>
        <w:tc>
          <w:tcPr>
            <w:tcW w:w="6585" w:type="dxa"/>
            <w:vAlign w:val="center"/>
          </w:tcPr>
          <w:p w14:paraId="7D8387EE">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lang w:eastAsia="en-US"/>
                <w14:textFill>
                  <w14:solidFill>
                    <w14:schemeClr w14:val="tx1"/>
                  </w14:solidFill>
                </w14:textFill>
              </w:rPr>
            </w:pPr>
            <w:bookmarkStart w:id="49" w:name="EB35ced2e8f8364f63a510bf246ff979f0"/>
            <w:bookmarkEnd w:id="49"/>
            <w:r>
              <w:rPr>
                <w:rFonts w:hint="eastAsia" w:ascii="宋体" w:hAnsi="宋体" w:cs="宋体"/>
                <w:color w:val="000000" w:themeColor="text1"/>
                <w:sz w:val="21"/>
                <w:szCs w:val="22"/>
                <w:highlight w:val="none"/>
                <w:lang w:eastAsia="en-US"/>
                <w14:textFill>
                  <w14:solidFill>
                    <w14:schemeClr w14:val="tx1"/>
                  </w14:solidFill>
                </w14:textFill>
              </w:rPr>
              <w:t>无</w:t>
            </w:r>
          </w:p>
        </w:tc>
      </w:tr>
      <w:tr w14:paraId="2EF02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1089" w:type="dxa"/>
            <w:vAlign w:val="center"/>
          </w:tcPr>
          <w:p w14:paraId="1350DFE8">
            <w:pPr>
              <w:widowControl/>
              <w:pBdr>
                <w:top w:val="none" w:color="000000" w:sz="0" w:space="0"/>
                <w:left w:val="none" w:color="000000" w:sz="0" w:space="0"/>
                <w:bottom w:val="none" w:color="000000" w:sz="0" w:space="0"/>
                <w:right w:val="none" w:color="000000" w:sz="0" w:space="0"/>
              </w:pBdr>
              <w:adjustRightInd/>
              <w:snapToGrid/>
              <w:spacing w:line="360" w:lineRule="atLeast"/>
              <w:ind w:firstLine="21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ascii="宋体" w:hAnsi="宋体" w:cs="宋体"/>
                <w:color w:val="000000" w:themeColor="text1"/>
                <w:sz w:val="21"/>
                <w:szCs w:val="22"/>
                <w:highlight w:val="none"/>
                <w:lang w:eastAsia="en-US"/>
                <w14:textFill>
                  <w14:solidFill>
                    <w14:schemeClr w14:val="tx1"/>
                  </w14:solidFill>
                </w14:textFill>
              </w:rPr>
              <w:t>2.2</w:t>
            </w:r>
          </w:p>
        </w:tc>
        <w:tc>
          <w:tcPr>
            <w:tcW w:w="1954" w:type="dxa"/>
            <w:vAlign w:val="center"/>
          </w:tcPr>
          <w:p w14:paraId="20AA85A0">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投标人要求澄清招标文件的截止时间</w:t>
            </w:r>
          </w:p>
        </w:tc>
        <w:tc>
          <w:tcPr>
            <w:tcW w:w="6585" w:type="dxa"/>
            <w:vAlign w:val="center"/>
          </w:tcPr>
          <w:p w14:paraId="48D50365">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2025年</w:t>
            </w:r>
            <w:r>
              <w:rPr>
                <w:rFonts w:hint="eastAsia" w:ascii="宋体" w:hAnsi="宋体" w:cs="宋体"/>
                <w:color w:val="000000" w:themeColor="text1"/>
                <w:sz w:val="21"/>
                <w:szCs w:val="22"/>
                <w:highlight w:val="none"/>
                <w14:textFill>
                  <w14:solidFill>
                    <w14:schemeClr w14:val="tx1"/>
                  </w14:solidFill>
                </w14:textFill>
              </w:rPr>
              <w:t>12</w:t>
            </w:r>
            <w:r>
              <w:rPr>
                <w:rFonts w:hint="eastAsia" w:ascii="宋体" w:hAnsi="宋体" w:cs="宋体"/>
                <w:color w:val="000000" w:themeColor="text1"/>
                <w:sz w:val="21"/>
                <w:szCs w:val="22"/>
                <w:highlight w:val="none"/>
                <w:lang w:eastAsia="en-US"/>
                <w14:textFill>
                  <w14:solidFill>
                    <w14:schemeClr w14:val="tx1"/>
                  </w14:solidFill>
                </w14:textFill>
              </w:rPr>
              <w:t>月</w:t>
            </w:r>
            <w:r>
              <w:rPr>
                <w:rFonts w:hint="eastAsia" w:ascii="宋体" w:hAnsi="宋体" w:cs="宋体"/>
                <w:color w:val="000000" w:themeColor="text1"/>
                <w:sz w:val="21"/>
                <w:szCs w:val="22"/>
                <w:highlight w:val="none"/>
                <w14:textFill>
                  <w14:solidFill>
                    <w14:schemeClr w14:val="tx1"/>
                  </w14:solidFill>
                </w14:textFill>
              </w:rPr>
              <w:t>1</w:t>
            </w:r>
            <w:r>
              <w:rPr>
                <w:rFonts w:hint="eastAsia" w:ascii="宋体" w:hAnsi="宋体" w:cs="宋体"/>
                <w:color w:val="000000" w:themeColor="text1"/>
                <w:sz w:val="21"/>
                <w:szCs w:val="22"/>
                <w:highlight w:val="none"/>
                <w:lang w:val="en-US" w:eastAsia="zh-CN"/>
                <w14:textFill>
                  <w14:solidFill>
                    <w14:schemeClr w14:val="tx1"/>
                  </w14:solidFill>
                </w14:textFill>
              </w:rPr>
              <w:t>0</w:t>
            </w:r>
            <w:r>
              <w:rPr>
                <w:rFonts w:hint="eastAsia" w:ascii="宋体" w:hAnsi="宋体" w:cs="宋体"/>
                <w:color w:val="000000" w:themeColor="text1"/>
                <w:sz w:val="21"/>
                <w:szCs w:val="22"/>
                <w:highlight w:val="none"/>
                <w:lang w:eastAsia="en-US"/>
                <w14:textFill>
                  <w14:solidFill>
                    <w14:schemeClr w14:val="tx1"/>
                  </w14:solidFill>
                </w14:textFill>
              </w:rPr>
              <w:t>日17时30分</w:t>
            </w:r>
          </w:p>
        </w:tc>
      </w:tr>
      <w:tr w14:paraId="231A2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4D889ECA">
            <w:pPr>
              <w:widowControl/>
              <w:pBdr>
                <w:top w:val="none" w:color="000000" w:sz="0" w:space="0"/>
                <w:left w:val="none" w:color="000000" w:sz="0" w:space="0"/>
                <w:bottom w:val="none" w:color="000000" w:sz="0" w:space="0"/>
                <w:right w:val="none" w:color="000000" w:sz="0" w:space="0"/>
              </w:pBdr>
              <w:adjustRightInd/>
              <w:snapToGrid/>
              <w:spacing w:line="360" w:lineRule="atLeast"/>
              <w:ind w:firstLine="21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3.1</w:t>
            </w:r>
          </w:p>
        </w:tc>
        <w:tc>
          <w:tcPr>
            <w:tcW w:w="1954" w:type="dxa"/>
            <w:vAlign w:val="center"/>
          </w:tcPr>
          <w:p w14:paraId="0D409197">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投标文件的组成</w:t>
            </w:r>
          </w:p>
        </w:tc>
        <w:tc>
          <w:tcPr>
            <w:tcW w:w="6585" w:type="dxa"/>
            <w:vAlign w:val="center"/>
          </w:tcPr>
          <w:p w14:paraId="011DF80B">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（1）开标一览表；</w:t>
            </w:r>
          </w:p>
          <w:p w14:paraId="75C17B96">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（2）投标函；</w:t>
            </w:r>
          </w:p>
          <w:p w14:paraId="1AAF0F2C">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（3）投标报价明细表及分析说明；</w:t>
            </w:r>
          </w:p>
          <w:p w14:paraId="48E5DCBB">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（4）投标人资格条件证明文件；</w:t>
            </w:r>
          </w:p>
          <w:p w14:paraId="3551D24B">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（5）联合体协议书（如有时</w:t>
            </w:r>
            <w:r>
              <w:rPr>
                <w:rFonts w:ascii="宋体" w:hAnsi="宋体" w:cs="宋体"/>
                <w:color w:val="000000" w:themeColor="text1"/>
                <w:sz w:val="21"/>
                <w:szCs w:val="22"/>
                <w:highlight w:val="none"/>
                <w14:textFill>
                  <w14:solidFill>
                    <w14:schemeClr w14:val="tx1"/>
                  </w14:solidFill>
                </w14:textFill>
              </w:rPr>
              <w:t>）</w:t>
            </w:r>
            <w:r>
              <w:rPr>
                <w:rFonts w:hint="eastAsia" w:ascii="宋体" w:hAnsi="宋体" w:cs="宋体"/>
                <w:color w:val="000000" w:themeColor="text1"/>
                <w:sz w:val="21"/>
                <w:szCs w:val="22"/>
                <w:highlight w:val="none"/>
                <w14:textFill>
                  <w14:solidFill>
                    <w14:schemeClr w14:val="tx1"/>
                  </w14:solidFill>
                </w14:textFill>
              </w:rPr>
              <w:t>；</w:t>
            </w:r>
          </w:p>
          <w:p w14:paraId="1EFD515A">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（6）采购需求响应表；</w:t>
            </w:r>
          </w:p>
          <w:p w14:paraId="7726B5D2">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（7）对照第三章 资格审查及评标办法，认为应列入投标文件的其他材料。</w:t>
            </w:r>
          </w:p>
        </w:tc>
      </w:tr>
      <w:tr w14:paraId="16281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1089" w:type="dxa"/>
            <w:vAlign w:val="center"/>
          </w:tcPr>
          <w:p w14:paraId="3D818686">
            <w:pPr>
              <w:widowControl/>
              <w:pBdr>
                <w:top w:val="none" w:color="000000" w:sz="0" w:space="0"/>
                <w:left w:val="none" w:color="000000" w:sz="0" w:space="0"/>
                <w:bottom w:val="none" w:color="000000" w:sz="0" w:space="0"/>
                <w:right w:val="none" w:color="000000" w:sz="0" w:space="0"/>
              </w:pBdr>
              <w:adjustRightInd/>
              <w:snapToGrid/>
              <w:spacing w:line="360" w:lineRule="atLeast"/>
              <w:ind w:firstLine="21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3.3.1</w:t>
            </w:r>
          </w:p>
        </w:tc>
        <w:tc>
          <w:tcPr>
            <w:tcW w:w="1954" w:type="dxa"/>
            <w:vAlign w:val="center"/>
          </w:tcPr>
          <w:p w14:paraId="2D12A00B">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投标有效期</w:t>
            </w:r>
          </w:p>
        </w:tc>
        <w:tc>
          <w:tcPr>
            <w:tcW w:w="6585" w:type="dxa"/>
            <w:vAlign w:val="center"/>
          </w:tcPr>
          <w:p w14:paraId="3E9285E9">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60日历天</w:t>
            </w:r>
          </w:p>
        </w:tc>
      </w:tr>
      <w:tr w14:paraId="17B8A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089" w:type="dxa"/>
            <w:vAlign w:val="center"/>
          </w:tcPr>
          <w:p w14:paraId="1A73EBBB">
            <w:pPr>
              <w:widowControl/>
              <w:pBdr>
                <w:top w:val="none" w:color="000000" w:sz="0" w:space="0"/>
                <w:left w:val="none" w:color="000000" w:sz="0" w:space="0"/>
                <w:bottom w:val="none" w:color="000000" w:sz="0" w:space="0"/>
                <w:right w:val="none" w:color="000000" w:sz="0" w:space="0"/>
              </w:pBdr>
              <w:adjustRightInd/>
              <w:snapToGrid/>
              <w:spacing w:line="360" w:lineRule="atLeast"/>
              <w:ind w:firstLine="21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3.4.3</w:t>
            </w:r>
          </w:p>
        </w:tc>
        <w:tc>
          <w:tcPr>
            <w:tcW w:w="1954" w:type="dxa"/>
            <w:vAlign w:val="center"/>
          </w:tcPr>
          <w:p w14:paraId="6C27249F">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投标文件的份数</w:t>
            </w:r>
          </w:p>
        </w:tc>
        <w:tc>
          <w:tcPr>
            <w:tcW w:w="6585" w:type="dxa"/>
            <w:vAlign w:val="center"/>
          </w:tcPr>
          <w:p w14:paraId="34B4D0BD">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电子投标文件壹份；</w:t>
            </w:r>
          </w:p>
        </w:tc>
      </w:tr>
      <w:tr w14:paraId="628EF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2227AE93">
            <w:pPr>
              <w:widowControl/>
              <w:pBdr>
                <w:top w:val="none" w:color="000000" w:sz="0" w:space="0"/>
                <w:left w:val="none" w:color="000000" w:sz="0" w:space="0"/>
                <w:bottom w:val="none" w:color="000000" w:sz="0" w:space="0"/>
                <w:right w:val="none" w:color="000000" w:sz="0" w:space="0"/>
              </w:pBdr>
              <w:adjustRightInd/>
              <w:snapToGrid/>
              <w:spacing w:line="360" w:lineRule="atLeast"/>
              <w:ind w:firstLine="21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3.4.4</w:t>
            </w:r>
          </w:p>
        </w:tc>
        <w:tc>
          <w:tcPr>
            <w:tcW w:w="1954" w:type="dxa"/>
            <w:vAlign w:val="center"/>
          </w:tcPr>
          <w:p w14:paraId="67610675">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投标文件的签署</w:t>
            </w:r>
          </w:p>
        </w:tc>
        <w:tc>
          <w:tcPr>
            <w:tcW w:w="6585" w:type="dxa"/>
            <w:vAlign w:val="center"/>
          </w:tcPr>
          <w:p w14:paraId="1041942B">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1.投标函、供应商基本资格条件承诺函中须内容完整且</w:t>
            </w:r>
            <w:r>
              <w:rPr>
                <w:rFonts w:hint="eastAsia" w:ascii="宋体" w:hAnsi="宋体" w:cs="宋体"/>
                <w:color w:val="000000" w:themeColor="text1"/>
                <w:sz w:val="21"/>
                <w:szCs w:val="22"/>
                <w:highlight w:val="none"/>
                <w:lang w:val="en-US" w:eastAsia="zh-CN"/>
                <w14:textFill>
                  <w14:solidFill>
                    <w14:schemeClr w14:val="tx1"/>
                  </w14:solidFill>
                </w14:textFill>
              </w:rPr>
              <w:t>签章完备</w:t>
            </w:r>
            <w:r>
              <w:rPr>
                <w:rFonts w:hint="eastAsia" w:ascii="宋体" w:hAnsi="宋体" w:cs="宋体"/>
                <w:color w:val="000000" w:themeColor="text1"/>
                <w:sz w:val="21"/>
                <w:szCs w:val="22"/>
                <w:highlight w:val="none"/>
                <w14:textFill>
                  <w14:solidFill>
                    <w14:schemeClr w14:val="tx1"/>
                  </w14:solidFill>
                </w14:textFill>
              </w:rPr>
              <w:t>。</w:t>
            </w:r>
          </w:p>
          <w:p w14:paraId="3EDDEB0C">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2.投标文件中的任何重要的插字、涂改和增删，修改处须有法定代表人签章或签字。</w:t>
            </w:r>
          </w:p>
        </w:tc>
      </w:tr>
      <w:tr w14:paraId="22FB9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089" w:type="dxa"/>
            <w:vAlign w:val="center"/>
          </w:tcPr>
          <w:p w14:paraId="20F5C7AA">
            <w:pPr>
              <w:widowControl/>
              <w:pBdr>
                <w:top w:val="none" w:color="000000" w:sz="0" w:space="0"/>
                <w:left w:val="none" w:color="000000" w:sz="0" w:space="0"/>
                <w:bottom w:val="none" w:color="000000" w:sz="0" w:space="0"/>
                <w:right w:val="none" w:color="000000" w:sz="0" w:space="0"/>
              </w:pBdr>
              <w:adjustRightInd/>
              <w:snapToGrid/>
              <w:spacing w:line="360" w:lineRule="atLeast"/>
              <w:ind w:firstLine="21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5.1.1</w:t>
            </w:r>
          </w:p>
        </w:tc>
        <w:tc>
          <w:tcPr>
            <w:tcW w:w="1954" w:type="dxa"/>
            <w:vAlign w:val="center"/>
          </w:tcPr>
          <w:p w14:paraId="0FF9765D">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开标时间和地点</w:t>
            </w:r>
          </w:p>
        </w:tc>
        <w:tc>
          <w:tcPr>
            <w:tcW w:w="6585" w:type="dxa"/>
            <w:vAlign w:val="center"/>
          </w:tcPr>
          <w:p w14:paraId="703E8AB3">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开标时间：</w:t>
            </w:r>
            <w:bookmarkStart w:id="50" w:name="EB72e20e40757d438698d0d924b6237fcc"/>
            <w:bookmarkEnd w:id="50"/>
            <w:r>
              <w:rPr>
                <w:rFonts w:hint="eastAsia" w:ascii="宋体" w:hAnsi="宋体" w:cs="宋体"/>
                <w:color w:val="000000" w:themeColor="text1"/>
                <w:sz w:val="21"/>
                <w:szCs w:val="22"/>
                <w:highlight w:val="none"/>
                <w14:textFill>
                  <w14:solidFill>
                    <w14:schemeClr w14:val="tx1"/>
                  </w14:solidFill>
                </w14:textFill>
              </w:rPr>
              <w:t>同投标截止时间</w:t>
            </w:r>
          </w:p>
          <w:p w14:paraId="2A5BE8B8">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开标地点：“苏采云”系统“开标大厅”</w:t>
            </w:r>
          </w:p>
        </w:tc>
      </w:tr>
      <w:tr w14:paraId="0AF9A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2A2A9375">
            <w:pPr>
              <w:widowControl/>
              <w:pBdr>
                <w:top w:val="none" w:color="000000" w:sz="0" w:space="0"/>
                <w:left w:val="none" w:color="000000" w:sz="0" w:space="0"/>
                <w:bottom w:val="none" w:color="000000" w:sz="0" w:space="0"/>
                <w:right w:val="none" w:color="000000" w:sz="0" w:space="0"/>
              </w:pBdr>
              <w:adjustRightInd/>
              <w:snapToGrid/>
              <w:spacing w:line="360" w:lineRule="atLeast"/>
              <w:ind w:firstLine="21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5.1.2</w:t>
            </w:r>
          </w:p>
        </w:tc>
        <w:tc>
          <w:tcPr>
            <w:tcW w:w="1954" w:type="dxa"/>
            <w:vAlign w:val="center"/>
          </w:tcPr>
          <w:p w14:paraId="3E67CBE4">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投标人参与开标要求</w:t>
            </w:r>
          </w:p>
        </w:tc>
        <w:tc>
          <w:tcPr>
            <w:tcW w:w="6585" w:type="dxa"/>
            <w:vAlign w:val="center"/>
          </w:tcPr>
          <w:p w14:paraId="2F05C23F">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开标活动将在招标公告中规定的时间和地点进行。投标人应当按照《江苏省政府采购管理交易系统（苏采云）投标人操作手册》规定，参加开标活动。</w:t>
            </w:r>
          </w:p>
        </w:tc>
      </w:tr>
      <w:tr w14:paraId="2B06B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89" w:type="dxa"/>
            <w:vAlign w:val="center"/>
          </w:tcPr>
          <w:p w14:paraId="272B9137">
            <w:pPr>
              <w:widowControl/>
              <w:pBdr>
                <w:top w:val="none" w:color="000000" w:sz="0" w:space="0"/>
                <w:left w:val="none" w:color="000000" w:sz="0" w:space="0"/>
                <w:bottom w:val="none" w:color="000000" w:sz="0" w:space="0"/>
                <w:right w:val="none" w:color="000000" w:sz="0" w:space="0"/>
              </w:pBdr>
              <w:adjustRightInd/>
              <w:snapToGrid/>
              <w:spacing w:line="360" w:lineRule="atLeast"/>
              <w:ind w:firstLine="21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6.1.1</w:t>
            </w:r>
          </w:p>
        </w:tc>
        <w:tc>
          <w:tcPr>
            <w:tcW w:w="1954" w:type="dxa"/>
            <w:vAlign w:val="center"/>
          </w:tcPr>
          <w:p w14:paraId="4D6EB216">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评标委员会</w:t>
            </w:r>
          </w:p>
        </w:tc>
        <w:tc>
          <w:tcPr>
            <w:tcW w:w="6585" w:type="dxa"/>
            <w:vAlign w:val="center"/>
          </w:tcPr>
          <w:p w14:paraId="2AB2DE4B">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评标委员会人数：5人（采购人代表1人，评审专家4人）。</w:t>
            </w:r>
          </w:p>
        </w:tc>
      </w:tr>
      <w:tr w14:paraId="22653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89" w:type="dxa"/>
            <w:vAlign w:val="center"/>
          </w:tcPr>
          <w:p w14:paraId="3BAAD103">
            <w:pPr>
              <w:widowControl/>
              <w:pBdr>
                <w:top w:val="none" w:color="000000" w:sz="0" w:space="0"/>
                <w:left w:val="none" w:color="000000" w:sz="0" w:space="0"/>
                <w:bottom w:val="none" w:color="000000" w:sz="0" w:space="0"/>
                <w:right w:val="none" w:color="000000" w:sz="0" w:space="0"/>
              </w:pBdr>
              <w:adjustRightInd/>
              <w:snapToGrid/>
              <w:spacing w:line="360" w:lineRule="atLeast"/>
              <w:ind w:firstLine="21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7.2.1</w:t>
            </w:r>
          </w:p>
        </w:tc>
        <w:tc>
          <w:tcPr>
            <w:tcW w:w="1954" w:type="dxa"/>
            <w:vAlign w:val="center"/>
          </w:tcPr>
          <w:p w14:paraId="232129E5">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中标公告媒介</w:t>
            </w:r>
          </w:p>
        </w:tc>
        <w:tc>
          <w:tcPr>
            <w:tcW w:w="6585" w:type="dxa"/>
            <w:vAlign w:val="center"/>
          </w:tcPr>
          <w:p w14:paraId="4A510CCF">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江苏政府采购网（</w:t>
            </w:r>
            <w:r>
              <w:rPr>
                <w:rFonts w:ascii="宋体" w:hAnsi="宋体" w:cs="宋体"/>
                <w:color w:val="000000" w:themeColor="text1"/>
                <w:sz w:val="21"/>
                <w:szCs w:val="22"/>
                <w:highlight w:val="none"/>
                <w:lang w:eastAsia="en-US"/>
                <w14:textFill>
                  <w14:solidFill>
                    <w14:schemeClr w14:val="tx1"/>
                  </w14:solidFill>
                </w14:textFill>
              </w:rPr>
              <w:t>www.ccgp-jiangsu.gov.cn</w:t>
            </w:r>
            <w:r>
              <w:rPr>
                <w:rFonts w:hint="eastAsia" w:ascii="宋体" w:hAnsi="宋体" w:cs="宋体"/>
                <w:color w:val="000000" w:themeColor="text1"/>
                <w:sz w:val="21"/>
                <w:szCs w:val="22"/>
                <w:highlight w:val="none"/>
                <w:lang w:eastAsia="en-US"/>
                <w14:textFill>
                  <w14:solidFill>
                    <w14:schemeClr w14:val="tx1"/>
                  </w14:solidFill>
                </w14:textFill>
              </w:rPr>
              <w:t>）</w:t>
            </w:r>
          </w:p>
        </w:tc>
      </w:tr>
      <w:tr w14:paraId="03BFB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89" w:type="dxa"/>
            <w:vAlign w:val="center"/>
          </w:tcPr>
          <w:p w14:paraId="207441DC">
            <w:pPr>
              <w:widowControl/>
              <w:pBdr>
                <w:top w:val="none" w:color="000000" w:sz="0" w:space="0"/>
                <w:left w:val="none" w:color="000000" w:sz="0" w:space="0"/>
                <w:bottom w:val="none" w:color="000000" w:sz="0" w:space="0"/>
                <w:right w:val="none" w:color="000000" w:sz="0" w:space="0"/>
              </w:pBdr>
              <w:adjustRightInd/>
              <w:snapToGrid/>
              <w:spacing w:line="360" w:lineRule="atLeast"/>
              <w:ind w:firstLine="21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8.1.1</w:t>
            </w:r>
          </w:p>
        </w:tc>
        <w:tc>
          <w:tcPr>
            <w:tcW w:w="1954" w:type="dxa"/>
            <w:vAlign w:val="center"/>
          </w:tcPr>
          <w:p w14:paraId="270F530A">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履约保证金</w:t>
            </w:r>
          </w:p>
        </w:tc>
        <w:tc>
          <w:tcPr>
            <w:tcW w:w="6585" w:type="dxa"/>
            <w:vAlign w:val="center"/>
          </w:tcPr>
          <w:p w14:paraId="11F1705E">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（1）履约保证金形式: 银行电汇或网上银行支付、保函（保证保险）、支票、汇票、本票或者金融机构、担保机构出具的保函等法律法规允许的形式。</w:t>
            </w:r>
          </w:p>
          <w:p w14:paraId="76706F6E">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（2）金额：合同价的5%</w:t>
            </w:r>
          </w:p>
          <w:p w14:paraId="526FD262">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（3）缴纳时间：在确定中标人之后,签订采购合同前。</w:t>
            </w:r>
          </w:p>
          <w:p w14:paraId="26E6EA85">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（4）退还时间：</w:t>
            </w:r>
            <w:bookmarkStart w:id="51" w:name="OLE_LINK4"/>
            <w:r>
              <w:rPr>
                <w:rFonts w:hint="eastAsia" w:ascii="宋体" w:hAnsi="宋体" w:cs="宋体"/>
                <w:color w:val="000000" w:themeColor="text1"/>
                <w:sz w:val="21"/>
                <w:szCs w:val="22"/>
                <w:highlight w:val="none"/>
                <w14:textFill>
                  <w14:solidFill>
                    <w14:schemeClr w14:val="tx1"/>
                  </w14:solidFill>
                </w14:textFill>
              </w:rPr>
              <w:t>合同按约履行结束后且乙方无须承担违约责任后退还。</w:t>
            </w:r>
            <w:bookmarkEnd w:id="51"/>
          </w:p>
        </w:tc>
      </w:tr>
      <w:tr w14:paraId="672B2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1089" w:type="dxa"/>
            <w:vAlign w:val="center"/>
          </w:tcPr>
          <w:p w14:paraId="6E3163EB">
            <w:pPr>
              <w:widowControl/>
              <w:pBdr>
                <w:top w:val="none" w:color="000000" w:sz="0" w:space="0"/>
                <w:left w:val="none" w:color="000000" w:sz="0" w:space="0"/>
                <w:bottom w:val="none" w:color="000000" w:sz="0" w:space="0"/>
                <w:right w:val="none" w:color="000000" w:sz="0" w:space="0"/>
              </w:pBdr>
              <w:adjustRightInd/>
              <w:snapToGrid/>
              <w:spacing w:line="360" w:lineRule="atLeast"/>
              <w:ind w:firstLine="21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8.2</w:t>
            </w:r>
          </w:p>
        </w:tc>
        <w:tc>
          <w:tcPr>
            <w:tcW w:w="1954" w:type="dxa"/>
            <w:vAlign w:val="center"/>
          </w:tcPr>
          <w:p w14:paraId="77D32342">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签订合同的时间要求</w:t>
            </w:r>
          </w:p>
        </w:tc>
        <w:tc>
          <w:tcPr>
            <w:tcW w:w="6585" w:type="dxa"/>
            <w:vAlign w:val="center"/>
          </w:tcPr>
          <w:p w14:paraId="79FC8299">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自中标通知书发出之日起30日历天内</w:t>
            </w:r>
          </w:p>
        </w:tc>
      </w:tr>
      <w:tr w14:paraId="1A3D4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vAlign w:val="center"/>
          </w:tcPr>
          <w:p w14:paraId="7ED88DCC">
            <w:pPr>
              <w:widowControl/>
              <w:pBdr>
                <w:top w:val="none" w:color="000000" w:sz="0" w:space="0"/>
                <w:left w:val="none" w:color="000000" w:sz="0" w:space="0"/>
                <w:bottom w:val="none" w:color="000000" w:sz="0" w:space="0"/>
                <w:right w:val="none" w:color="000000" w:sz="0" w:space="0"/>
              </w:pBdr>
              <w:adjustRightInd/>
              <w:snapToGrid/>
              <w:spacing w:line="360" w:lineRule="atLeast"/>
              <w:ind w:firstLine="21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9</w:t>
            </w:r>
          </w:p>
        </w:tc>
        <w:tc>
          <w:tcPr>
            <w:tcW w:w="8539" w:type="dxa"/>
            <w:gridSpan w:val="2"/>
            <w:vAlign w:val="center"/>
          </w:tcPr>
          <w:p w14:paraId="54C4BAC0">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需要补充的其他内容</w:t>
            </w:r>
          </w:p>
        </w:tc>
      </w:tr>
      <w:tr w14:paraId="08AE8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089" w:type="dxa"/>
            <w:vAlign w:val="center"/>
          </w:tcPr>
          <w:p w14:paraId="3C5E9497">
            <w:pPr>
              <w:widowControl/>
              <w:pBdr>
                <w:top w:val="none" w:color="000000" w:sz="0" w:space="0"/>
                <w:left w:val="none" w:color="000000" w:sz="0" w:space="0"/>
                <w:bottom w:val="none" w:color="000000" w:sz="0" w:space="0"/>
                <w:right w:val="none" w:color="000000" w:sz="0" w:space="0"/>
              </w:pBdr>
              <w:adjustRightInd/>
              <w:snapToGrid/>
              <w:spacing w:line="360" w:lineRule="atLeast"/>
              <w:ind w:firstLine="21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9.1</w:t>
            </w:r>
          </w:p>
          <w:p w14:paraId="13774B23">
            <w:pPr>
              <w:widowControl/>
              <w:pBdr>
                <w:top w:val="none" w:color="000000" w:sz="0" w:space="0"/>
                <w:left w:val="none" w:color="000000" w:sz="0" w:space="0"/>
                <w:bottom w:val="none" w:color="000000" w:sz="0" w:space="0"/>
                <w:right w:val="none" w:color="000000" w:sz="0" w:space="0"/>
              </w:pBdr>
              <w:adjustRightInd/>
              <w:snapToGrid/>
              <w:spacing w:line="360" w:lineRule="atLeast"/>
              <w:ind w:firstLine="21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9.2</w:t>
            </w:r>
          </w:p>
        </w:tc>
        <w:tc>
          <w:tcPr>
            <w:tcW w:w="1954" w:type="dxa"/>
            <w:vAlign w:val="center"/>
          </w:tcPr>
          <w:p w14:paraId="628A2EDE">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质疑和投诉</w:t>
            </w:r>
          </w:p>
        </w:tc>
        <w:tc>
          <w:tcPr>
            <w:tcW w:w="6585" w:type="dxa"/>
            <w:vAlign w:val="center"/>
          </w:tcPr>
          <w:p w14:paraId="6A34DA7B">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按照《政府采购质疑和投诉办法》（财政部第</w:t>
            </w:r>
            <w:r>
              <w:rPr>
                <w:rFonts w:ascii="宋体" w:hAnsi="宋体" w:cs="宋体"/>
                <w:color w:val="000000" w:themeColor="text1"/>
                <w:sz w:val="21"/>
                <w:szCs w:val="22"/>
                <w:highlight w:val="none"/>
                <w14:textFill>
                  <w14:solidFill>
                    <w14:schemeClr w14:val="tx1"/>
                  </w14:solidFill>
                </w14:textFill>
              </w:rPr>
              <w:t>94</w:t>
            </w:r>
            <w:r>
              <w:rPr>
                <w:rFonts w:hint="eastAsia" w:ascii="宋体" w:hAnsi="宋体" w:cs="宋体"/>
                <w:color w:val="000000" w:themeColor="text1"/>
                <w:sz w:val="21"/>
                <w:szCs w:val="22"/>
                <w:highlight w:val="none"/>
                <w14:textFill>
                  <w14:solidFill>
                    <w14:schemeClr w14:val="tx1"/>
                  </w14:solidFill>
                </w14:textFill>
              </w:rPr>
              <w:t>号令）处理</w:t>
            </w:r>
          </w:p>
        </w:tc>
      </w:tr>
      <w:tr w14:paraId="463B6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89" w:type="dxa"/>
            <w:vAlign w:val="center"/>
          </w:tcPr>
          <w:p w14:paraId="2A73C346">
            <w:pPr>
              <w:widowControl/>
              <w:pBdr>
                <w:top w:val="none" w:color="000000" w:sz="0" w:space="0"/>
                <w:left w:val="none" w:color="000000" w:sz="0" w:space="0"/>
                <w:bottom w:val="none" w:color="000000" w:sz="0" w:space="0"/>
                <w:right w:val="none" w:color="000000" w:sz="0" w:space="0"/>
              </w:pBdr>
              <w:adjustRightInd/>
              <w:snapToGrid/>
              <w:spacing w:line="360" w:lineRule="atLeast"/>
              <w:ind w:firstLine="21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9.3</w:t>
            </w:r>
          </w:p>
        </w:tc>
        <w:tc>
          <w:tcPr>
            <w:tcW w:w="1954" w:type="dxa"/>
            <w:vAlign w:val="center"/>
          </w:tcPr>
          <w:p w14:paraId="36171A44">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招标文件的解释</w:t>
            </w:r>
          </w:p>
        </w:tc>
        <w:tc>
          <w:tcPr>
            <w:tcW w:w="6585" w:type="dxa"/>
            <w:vAlign w:val="center"/>
          </w:tcPr>
          <w:p w14:paraId="2F576145">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由采购人负责</w:t>
            </w:r>
          </w:p>
        </w:tc>
      </w:tr>
      <w:tr w14:paraId="70E33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089" w:type="dxa"/>
            <w:vAlign w:val="center"/>
          </w:tcPr>
          <w:p w14:paraId="6F0E64CE">
            <w:pPr>
              <w:widowControl/>
              <w:pBdr>
                <w:top w:val="none" w:color="000000" w:sz="0" w:space="0"/>
                <w:left w:val="none" w:color="000000" w:sz="0" w:space="0"/>
                <w:bottom w:val="none" w:color="000000" w:sz="0" w:space="0"/>
                <w:right w:val="none" w:color="000000" w:sz="0" w:space="0"/>
              </w:pBdr>
              <w:adjustRightInd/>
              <w:snapToGrid/>
              <w:spacing w:line="360" w:lineRule="atLeast"/>
              <w:ind w:firstLine="21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9.4</w:t>
            </w:r>
          </w:p>
        </w:tc>
        <w:tc>
          <w:tcPr>
            <w:tcW w:w="1954" w:type="dxa"/>
            <w:vAlign w:val="center"/>
          </w:tcPr>
          <w:p w14:paraId="163E3883">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落实政府采购政策</w:t>
            </w:r>
          </w:p>
        </w:tc>
        <w:tc>
          <w:tcPr>
            <w:tcW w:w="6585" w:type="dxa"/>
            <w:vAlign w:val="center"/>
          </w:tcPr>
          <w:p w14:paraId="6C0AAEDD">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本项目为非专门面向中小企业的项目</w:t>
            </w:r>
          </w:p>
        </w:tc>
      </w:tr>
      <w:tr w14:paraId="75D0C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9" w:type="dxa"/>
            <w:vAlign w:val="center"/>
          </w:tcPr>
          <w:p w14:paraId="5744E9BF">
            <w:pPr>
              <w:widowControl/>
              <w:pBdr>
                <w:top w:val="none" w:color="000000" w:sz="0" w:space="0"/>
                <w:left w:val="none" w:color="000000" w:sz="0" w:space="0"/>
                <w:bottom w:val="none" w:color="000000" w:sz="0" w:space="0"/>
                <w:right w:val="none" w:color="000000" w:sz="0" w:space="0"/>
              </w:pBdr>
              <w:adjustRightInd/>
              <w:snapToGrid/>
              <w:spacing w:line="360" w:lineRule="atLeast"/>
              <w:ind w:firstLine="21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9.5</w:t>
            </w:r>
          </w:p>
        </w:tc>
        <w:tc>
          <w:tcPr>
            <w:tcW w:w="1954" w:type="dxa"/>
            <w:vAlign w:val="center"/>
          </w:tcPr>
          <w:p w14:paraId="09C8299E">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投标报价</w:t>
            </w:r>
          </w:p>
        </w:tc>
        <w:tc>
          <w:tcPr>
            <w:tcW w:w="6585" w:type="dxa"/>
            <w:vAlign w:val="center"/>
          </w:tcPr>
          <w:p w14:paraId="5EF15515">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1.投标人</w:t>
            </w:r>
            <w:r>
              <w:rPr>
                <w:rFonts w:ascii="宋体" w:hAnsi="宋体" w:cs="宋体"/>
                <w:color w:val="000000" w:themeColor="text1"/>
                <w:sz w:val="21"/>
                <w:szCs w:val="22"/>
                <w:highlight w:val="none"/>
                <w14:textFill>
                  <w14:solidFill>
                    <w14:schemeClr w14:val="tx1"/>
                  </w14:solidFill>
                </w14:textFill>
              </w:rPr>
              <w:t>应仔细阅读和充分理解招标文件的采购需求和合同主要条款，根据自身实际情况并综合考虑合同履行过程中的各类风险</w:t>
            </w:r>
            <w:r>
              <w:rPr>
                <w:rFonts w:hint="eastAsia" w:ascii="宋体" w:hAnsi="宋体" w:cs="宋体"/>
                <w:color w:val="000000" w:themeColor="text1"/>
                <w:sz w:val="21"/>
                <w:szCs w:val="22"/>
                <w:highlight w:val="none"/>
                <w14:textFill>
                  <w14:solidFill>
                    <w14:schemeClr w14:val="tx1"/>
                  </w14:solidFill>
                </w14:textFill>
              </w:rPr>
              <w:t>，</w:t>
            </w:r>
            <w:r>
              <w:rPr>
                <w:rFonts w:ascii="宋体" w:hAnsi="宋体" w:cs="宋体"/>
                <w:color w:val="000000" w:themeColor="text1"/>
                <w:sz w:val="21"/>
                <w:szCs w:val="22"/>
                <w:highlight w:val="none"/>
                <w14:textFill>
                  <w14:solidFill>
                    <w14:schemeClr w14:val="tx1"/>
                  </w14:solidFill>
                </w14:textFill>
              </w:rPr>
              <w:t>理性报价。</w:t>
            </w:r>
          </w:p>
          <w:p w14:paraId="6B59F9CB">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2.异常的低价可能会导致投标无效。</w:t>
            </w:r>
          </w:p>
        </w:tc>
      </w:tr>
      <w:tr w14:paraId="4F43A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9" w:type="dxa"/>
            <w:vAlign w:val="center"/>
          </w:tcPr>
          <w:p w14:paraId="649E3223">
            <w:pPr>
              <w:widowControl/>
              <w:pBdr>
                <w:top w:val="none" w:color="000000" w:sz="0" w:space="0"/>
                <w:left w:val="none" w:color="000000" w:sz="0" w:space="0"/>
                <w:bottom w:val="none" w:color="000000" w:sz="0" w:space="0"/>
                <w:right w:val="none" w:color="000000" w:sz="0" w:space="0"/>
              </w:pBdr>
              <w:adjustRightInd/>
              <w:snapToGrid/>
              <w:spacing w:line="360" w:lineRule="atLeast"/>
              <w:ind w:firstLine="21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9.6</w:t>
            </w:r>
          </w:p>
        </w:tc>
        <w:tc>
          <w:tcPr>
            <w:tcW w:w="1954" w:type="dxa"/>
            <w:vAlign w:val="center"/>
          </w:tcPr>
          <w:p w14:paraId="23F6428E">
            <w:pPr>
              <w:widowControl/>
              <w:pBdr>
                <w:top w:val="none" w:color="000000" w:sz="0" w:space="0"/>
                <w:left w:val="none" w:color="000000" w:sz="0" w:space="0"/>
                <w:bottom w:val="none" w:color="000000" w:sz="0" w:space="0"/>
                <w:right w:val="none" w:color="000000" w:sz="0" w:space="0"/>
              </w:pBdr>
              <w:adjustRightInd/>
              <w:snapToGrid/>
              <w:spacing w:line="360" w:lineRule="atLeast"/>
              <w:ind w:firstLine="210" w:firstLineChars="0"/>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标的所属行业</w:t>
            </w:r>
          </w:p>
        </w:tc>
        <w:tc>
          <w:tcPr>
            <w:tcW w:w="6585" w:type="dxa"/>
            <w:vAlign w:val="center"/>
          </w:tcPr>
          <w:p w14:paraId="39641342">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其他未列明行业。</w:t>
            </w:r>
          </w:p>
        </w:tc>
      </w:tr>
      <w:tr w14:paraId="4BBBD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9" w:type="dxa"/>
            <w:vAlign w:val="center"/>
          </w:tcPr>
          <w:p w14:paraId="7105785F">
            <w:pPr>
              <w:widowControl/>
              <w:pBdr>
                <w:top w:val="none" w:color="000000" w:sz="0" w:space="0"/>
                <w:left w:val="none" w:color="000000" w:sz="0" w:space="0"/>
                <w:bottom w:val="none" w:color="000000" w:sz="0" w:space="0"/>
                <w:right w:val="none" w:color="000000" w:sz="0" w:space="0"/>
              </w:pBdr>
              <w:adjustRightInd/>
              <w:snapToGrid/>
              <w:spacing w:line="360" w:lineRule="atLeast"/>
              <w:ind w:firstLine="210" w:firstLineChars="0"/>
              <w:jc w:val="both"/>
              <w:rPr>
                <w:rFonts w:hint="eastAsia" w:ascii="宋体" w:hAnsi="宋体" w:cs="宋体"/>
                <w:color w:val="000000" w:themeColor="text1"/>
                <w:sz w:val="21"/>
                <w:szCs w:val="22"/>
                <w:highlight w:val="none"/>
                <w:lang w:eastAsia="en-US"/>
                <w14:textFill>
                  <w14:solidFill>
                    <w14:schemeClr w14:val="tx1"/>
                  </w14:solidFill>
                </w14:textFill>
              </w:rPr>
            </w:pPr>
            <w:bookmarkStart w:id="52" w:name="_Toc367784995"/>
            <w:bookmarkStart w:id="53" w:name="_Toc426469871"/>
            <w:r>
              <w:rPr>
                <w:rFonts w:hint="eastAsia" w:ascii="宋体" w:hAnsi="宋体" w:cs="宋体"/>
                <w:color w:val="000000" w:themeColor="text1"/>
                <w:sz w:val="21"/>
                <w:szCs w:val="22"/>
                <w:highlight w:val="none"/>
                <w:lang w:eastAsia="en-US"/>
                <w14:textFill>
                  <w14:solidFill>
                    <w14:schemeClr w14:val="tx1"/>
                  </w14:solidFill>
                </w14:textFill>
              </w:rPr>
              <w:t>9.7</w:t>
            </w:r>
          </w:p>
        </w:tc>
        <w:tc>
          <w:tcPr>
            <w:tcW w:w="8539" w:type="dxa"/>
            <w:gridSpan w:val="2"/>
            <w:vAlign w:val="center"/>
          </w:tcPr>
          <w:p w14:paraId="79E7C6A0">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补充条款</w:t>
            </w:r>
          </w:p>
        </w:tc>
      </w:tr>
      <w:tr w14:paraId="63685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9" w:type="dxa"/>
            <w:vAlign w:val="center"/>
          </w:tcPr>
          <w:p w14:paraId="00BBC810">
            <w:pPr>
              <w:widowControl/>
              <w:pBdr>
                <w:top w:val="none" w:color="000000" w:sz="0" w:space="0"/>
                <w:left w:val="none" w:color="000000" w:sz="0" w:space="0"/>
                <w:bottom w:val="none" w:color="000000" w:sz="0" w:space="0"/>
                <w:right w:val="none" w:color="000000" w:sz="0" w:space="0"/>
              </w:pBdr>
              <w:adjustRightInd/>
              <w:snapToGrid/>
              <w:spacing w:line="360" w:lineRule="atLeast"/>
              <w:ind w:firstLine="210" w:firstLineChars="0"/>
              <w:jc w:val="left"/>
              <w:rPr>
                <w:rFonts w:hint="eastAsia" w:ascii="宋体" w:hAnsi="宋体" w:cs="宋体"/>
                <w:color w:val="000000" w:themeColor="text1"/>
                <w:sz w:val="21"/>
                <w:szCs w:val="22"/>
                <w:highlight w:val="none"/>
                <w:lang w:eastAsia="en-US"/>
                <w14:textFill>
                  <w14:solidFill>
                    <w14:schemeClr w14:val="tx1"/>
                  </w14:solidFill>
                </w14:textFill>
              </w:rPr>
            </w:pPr>
            <w:r>
              <w:rPr>
                <w:rFonts w:hint="eastAsia" w:ascii="宋体" w:hAnsi="宋体" w:cs="宋体"/>
                <w:color w:val="000000" w:themeColor="text1"/>
                <w:sz w:val="21"/>
                <w:szCs w:val="22"/>
                <w:highlight w:val="none"/>
                <w:lang w:eastAsia="en-US"/>
                <w14:textFill>
                  <w14:solidFill>
                    <w14:schemeClr w14:val="tx1"/>
                  </w14:solidFill>
                </w14:textFill>
              </w:rPr>
              <w:t>9.7.1</w:t>
            </w:r>
          </w:p>
        </w:tc>
        <w:tc>
          <w:tcPr>
            <w:tcW w:w="8539" w:type="dxa"/>
            <w:gridSpan w:val="2"/>
            <w:vAlign w:val="center"/>
          </w:tcPr>
          <w:p w14:paraId="3EF6BED1">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本项目采购代理服务费及其他相关费用均由中标供应商在领取中标通知书前支付给代理机构，采购人不另外支付。</w:t>
            </w:r>
          </w:p>
          <w:p w14:paraId="1B0329D3">
            <w:pPr>
              <w:widowControl/>
              <w:pBdr>
                <w:top w:val="none" w:color="000000" w:sz="0" w:space="0"/>
                <w:left w:val="none" w:color="000000" w:sz="0" w:space="0"/>
                <w:bottom w:val="none" w:color="000000" w:sz="0" w:space="0"/>
                <w:right w:val="none" w:color="000000" w:sz="0" w:space="0"/>
              </w:pBdr>
              <w:adjustRightInd/>
              <w:snapToGrid/>
              <w:spacing w:line="360" w:lineRule="atLeast"/>
              <w:ind w:firstLine="0" w:firstLineChars="0"/>
              <w:jc w:val="left"/>
              <w:rPr>
                <w:rFonts w:hint="eastAsia"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本项目采购代理服务费暂定9048.00元（实际结算以中标价计算为准）由中标供应商在领取中标通知书前支付给采购代理机构，收费标准参照计价格[2002]1980号文件及发改价格[2011]534号文件规定的58%，其他相关费用按实计取。</w:t>
            </w:r>
          </w:p>
        </w:tc>
      </w:tr>
    </w:tbl>
    <w:p w14:paraId="34E04791">
      <w:pPr>
        <w:pStyle w:val="6"/>
        <w:widowControl/>
        <w:pBdr>
          <w:top w:val="none" w:color="000000" w:sz="0" w:space="0"/>
          <w:left w:val="none" w:color="000000" w:sz="0" w:space="0"/>
          <w:bottom w:val="none" w:color="000000" w:sz="0" w:space="0"/>
          <w:right w:val="none" w:color="000000" w:sz="0" w:space="0"/>
        </w:pBdr>
        <w:adjustRightInd/>
        <w:snapToGrid/>
        <w:spacing w:before="0" w:after="0" w:line="360" w:lineRule="auto"/>
        <w:ind w:firstLine="482" w:firstLineChars="200"/>
        <w:jc w:val="left"/>
        <w:rPr>
          <w:rFonts w:hint="eastAsia" w:ascii="宋体" w:hAnsi="宋体" w:eastAsia="宋体" w:cs="宋体"/>
          <w:bCs w:val="0"/>
          <w:color w:val="000000" w:themeColor="text1"/>
          <w:sz w:val="24"/>
          <w:szCs w:val="22"/>
          <w:highlight w:val="none"/>
          <w14:textFill>
            <w14:solidFill>
              <w14:schemeClr w14:val="tx1"/>
            </w14:solidFill>
          </w14:textFill>
        </w:rPr>
      </w:pPr>
      <w:r>
        <w:rPr>
          <w:rFonts w:ascii="宋体" w:hAnsi="宋体" w:eastAsia="宋体" w:cs="宋体"/>
          <w:bCs w:val="0"/>
          <w:color w:val="000000" w:themeColor="text1"/>
          <w:sz w:val="24"/>
          <w:szCs w:val="22"/>
          <w:highlight w:val="none"/>
          <w14:textFill>
            <w14:solidFill>
              <w14:schemeClr w14:val="tx1"/>
            </w14:solidFill>
          </w14:textFill>
        </w:rPr>
        <w:t>1.</w:t>
      </w:r>
      <w:r>
        <w:rPr>
          <w:rFonts w:hint="eastAsia" w:ascii="宋体" w:hAnsi="宋体" w:eastAsia="宋体" w:cs="宋体"/>
          <w:bCs w:val="0"/>
          <w:color w:val="000000" w:themeColor="text1"/>
          <w:sz w:val="24"/>
          <w:szCs w:val="22"/>
          <w:highlight w:val="none"/>
          <w14:textFill>
            <w14:solidFill>
              <w14:schemeClr w14:val="tx1"/>
            </w14:solidFill>
          </w14:textFill>
        </w:rPr>
        <w:t>总则</w:t>
      </w:r>
      <w:bookmarkEnd w:id="52"/>
      <w:bookmarkEnd w:id="53"/>
    </w:p>
    <w:p w14:paraId="1B266836">
      <w:pPr>
        <w:pStyle w:val="6"/>
        <w:widowControl/>
        <w:pBdr>
          <w:top w:val="none" w:color="000000" w:sz="0" w:space="0"/>
          <w:left w:val="none" w:color="000000" w:sz="0" w:space="0"/>
          <w:bottom w:val="none" w:color="000000" w:sz="0" w:space="0"/>
          <w:right w:val="none" w:color="000000" w:sz="0" w:space="0"/>
        </w:pBdr>
        <w:adjustRightInd/>
        <w:snapToGrid/>
        <w:spacing w:before="0" w:after="0" w:line="360" w:lineRule="auto"/>
        <w:ind w:firstLine="482" w:firstLineChars="200"/>
        <w:jc w:val="left"/>
        <w:rPr>
          <w:color w:val="000000" w:themeColor="text1"/>
          <w:highlight w:val="none"/>
          <w14:textFill>
            <w14:solidFill>
              <w14:schemeClr w14:val="tx1"/>
            </w14:solidFill>
          </w14:textFill>
        </w:rPr>
      </w:pPr>
      <w:bookmarkStart w:id="54" w:name="_Toc383438593"/>
      <w:bookmarkStart w:id="55" w:name="_Toc247085690"/>
      <w:bookmarkStart w:id="56" w:name="_Toc246996919"/>
      <w:bookmarkStart w:id="57" w:name="_Toc246996176"/>
      <w:bookmarkStart w:id="58" w:name="_Toc343525506"/>
      <w:bookmarkStart w:id="59" w:name="_Toc152045530"/>
      <w:bookmarkStart w:id="60" w:name="_Toc152042306"/>
      <w:bookmarkStart w:id="61" w:name="_Toc179632547"/>
      <w:bookmarkStart w:id="62" w:name="_Toc144974498"/>
      <w:bookmarkStart w:id="63" w:name="_Toc426469872"/>
      <w:bookmarkStart w:id="64" w:name="_Toc367784996"/>
      <w:r>
        <w:rPr>
          <w:rFonts w:ascii="宋体" w:hAnsi="宋体" w:eastAsia="宋体" w:cs="宋体"/>
          <w:bCs w:val="0"/>
          <w:color w:val="000000" w:themeColor="text1"/>
          <w:sz w:val="24"/>
          <w:szCs w:val="22"/>
          <w:highlight w:val="none"/>
          <w14:textFill>
            <w14:solidFill>
              <w14:schemeClr w14:val="tx1"/>
            </w14:solidFill>
          </w14:textFill>
        </w:rPr>
        <w:t xml:space="preserve">1.1 </w:t>
      </w:r>
      <w:r>
        <w:rPr>
          <w:rFonts w:hint="eastAsia" w:ascii="宋体" w:hAnsi="宋体" w:eastAsia="宋体" w:cs="宋体"/>
          <w:bCs w:val="0"/>
          <w:color w:val="000000" w:themeColor="text1"/>
          <w:sz w:val="24"/>
          <w:szCs w:val="22"/>
          <w:highlight w:val="none"/>
          <w14:textFill>
            <w14:solidFill>
              <w14:schemeClr w14:val="tx1"/>
            </w14:solidFill>
          </w14:textFill>
        </w:rPr>
        <w:t>项目概况</w:t>
      </w:r>
      <w:bookmarkEnd w:id="54"/>
      <w:bookmarkEnd w:id="55"/>
      <w:bookmarkEnd w:id="56"/>
      <w:bookmarkEnd w:id="57"/>
      <w:bookmarkEnd w:id="58"/>
      <w:bookmarkEnd w:id="59"/>
      <w:bookmarkEnd w:id="60"/>
      <w:bookmarkEnd w:id="61"/>
      <w:bookmarkEnd w:id="62"/>
      <w:bookmarkEnd w:id="63"/>
    </w:p>
    <w:p w14:paraId="2B788DA0">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t>1.1.1</w:t>
      </w:r>
      <w:r>
        <w:rPr>
          <w:rFonts w:hint="eastAsia" w:ascii="宋体" w:hAnsi="宋体" w:cs="宋体"/>
          <w:color w:val="000000" w:themeColor="text1"/>
          <w:sz w:val="22"/>
          <w:szCs w:val="22"/>
          <w:highlight w:val="none"/>
          <w14:textFill>
            <w14:solidFill>
              <w14:schemeClr w14:val="tx1"/>
            </w14:solidFill>
          </w14:textFill>
        </w:rPr>
        <w:t>根据《中华人民共和国政府采购法》、《中华人民共和国政府采购法实施条例》等有关法律、法规和规章的规定，本采购项目已具备采购条件，现对本项目进行公开招标。</w:t>
      </w:r>
    </w:p>
    <w:p w14:paraId="4ADDFAD5">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t xml:space="preserve">1.1.2 </w:t>
      </w:r>
      <w:r>
        <w:rPr>
          <w:rFonts w:hint="eastAsia" w:ascii="宋体" w:hAnsi="宋体" w:cs="宋体"/>
          <w:color w:val="000000" w:themeColor="text1"/>
          <w:sz w:val="22"/>
          <w:szCs w:val="22"/>
          <w:highlight w:val="none"/>
          <w14:textFill>
            <w14:solidFill>
              <w14:schemeClr w14:val="tx1"/>
            </w14:solidFill>
          </w14:textFill>
        </w:rPr>
        <w:t>采购人：见投标人须知前附表。</w:t>
      </w:r>
    </w:p>
    <w:p w14:paraId="40EC90B3">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t xml:space="preserve">1.1.3 </w:t>
      </w:r>
      <w:r>
        <w:rPr>
          <w:rFonts w:hint="eastAsia" w:ascii="宋体" w:hAnsi="宋体" w:cs="宋体"/>
          <w:color w:val="000000" w:themeColor="text1"/>
          <w:sz w:val="22"/>
          <w:szCs w:val="22"/>
          <w:highlight w:val="none"/>
          <w14:textFill>
            <w14:solidFill>
              <w14:schemeClr w14:val="tx1"/>
            </w14:solidFill>
          </w14:textFill>
        </w:rPr>
        <w:t>采购代理机构：见投标人须知前附表。</w:t>
      </w:r>
    </w:p>
    <w:p w14:paraId="4E77FC44">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t xml:space="preserve">1.1.4 </w:t>
      </w:r>
      <w:r>
        <w:rPr>
          <w:rFonts w:hint="eastAsia" w:ascii="宋体" w:hAnsi="宋体" w:cs="宋体"/>
          <w:color w:val="000000" w:themeColor="text1"/>
          <w:sz w:val="22"/>
          <w:szCs w:val="22"/>
          <w:highlight w:val="none"/>
          <w14:textFill>
            <w14:solidFill>
              <w14:schemeClr w14:val="tx1"/>
            </w14:solidFill>
          </w14:textFill>
        </w:rPr>
        <w:t>项目名称及项目编号：见投标人须知前附表。</w:t>
      </w:r>
    </w:p>
    <w:p w14:paraId="6C15A35A">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bookmarkStart w:id="65" w:name="_Toc426469873"/>
      <w:bookmarkStart w:id="66" w:name="_Toc246996177"/>
      <w:bookmarkStart w:id="67" w:name="_Toc152042307"/>
      <w:bookmarkStart w:id="68" w:name="_Toc152045531"/>
      <w:bookmarkStart w:id="69" w:name="_Toc246996920"/>
      <w:bookmarkStart w:id="70" w:name="_Toc343525507"/>
      <w:bookmarkStart w:id="71" w:name="_Toc179632548"/>
      <w:bookmarkStart w:id="72" w:name="_Toc247085691"/>
      <w:bookmarkStart w:id="73" w:name="_Toc383438594"/>
      <w:bookmarkStart w:id="74" w:name="_Toc144974499"/>
      <w:r>
        <w:rPr>
          <w:rFonts w:hint="eastAsia" w:ascii="宋体" w:hAnsi="宋体" w:cs="宋体"/>
          <w:b/>
          <w:color w:val="000000" w:themeColor="text1"/>
          <w:szCs w:val="22"/>
          <w:highlight w:val="none"/>
          <w14:textFill>
            <w14:solidFill>
              <w14:schemeClr w14:val="tx1"/>
            </w14:solidFill>
          </w14:textFill>
        </w:rPr>
        <w:t>1.2</w:t>
      </w:r>
      <w:bookmarkEnd w:id="65"/>
      <w:bookmarkEnd w:id="66"/>
      <w:bookmarkEnd w:id="67"/>
      <w:bookmarkEnd w:id="68"/>
      <w:bookmarkEnd w:id="69"/>
      <w:bookmarkEnd w:id="70"/>
      <w:bookmarkEnd w:id="71"/>
      <w:bookmarkEnd w:id="72"/>
      <w:bookmarkEnd w:id="73"/>
      <w:bookmarkEnd w:id="74"/>
      <w:r>
        <w:rPr>
          <w:rFonts w:hint="eastAsia" w:ascii="宋体" w:hAnsi="宋体" w:cs="宋体"/>
          <w:b/>
          <w:color w:val="000000" w:themeColor="text1"/>
          <w:szCs w:val="22"/>
          <w:highlight w:val="none"/>
          <w14:textFill>
            <w14:solidFill>
              <w14:schemeClr w14:val="tx1"/>
            </w14:solidFill>
          </w14:textFill>
        </w:rPr>
        <w:t>付款方式</w:t>
      </w:r>
    </w:p>
    <w:p w14:paraId="1528AE0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t>1.2.</w:t>
      </w:r>
      <w:r>
        <w:rPr>
          <w:rFonts w:hint="eastAsia" w:ascii="宋体" w:hAnsi="宋体" w:cs="宋体"/>
          <w:color w:val="000000" w:themeColor="text1"/>
          <w:sz w:val="22"/>
          <w:szCs w:val="22"/>
          <w:highlight w:val="none"/>
          <w14:textFill>
            <w14:solidFill>
              <w14:schemeClr w14:val="tx1"/>
            </w14:solidFill>
          </w14:textFill>
        </w:rPr>
        <w:t>1付款方式：见投标人须知前附表。</w:t>
      </w:r>
    </w:p>
    <w:p w14:paraId="54AA1A63">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bookmarkStart w:id="75" w:name="_Toc144974500"/>
      <w:bookmarkStart w:id="76" w:name="_Toc343525508"/>
      <w:bookmarkStart w:id="77" w:name="_Toc383438595"/>
      <w:bookmarkStart w:id="78" w:name="_Toc152042308"/>
      <w:bookmarkStart w:id="79" w:name="_Toc246996178"/>
      <w:bookmarkStart w:id="80" w:name="_Toc247085692"/>
      <w:bookmarkStart w:id="81" w:name="_Toc246996921"/>
      <w:bookmarkStart w:id="82" w:name="_Toc152045532"/>
      <w:bookmarkStart w:id="83" w:name="_Toc179632549"/>
      <w:bookmarkStart w:id="84" w:name="_Toc426469874"/>
      <w:r>
        <w:rPr>
          <w:rFonts w:hint="eastAsia" w:ascii="宋体" w:hAnsi="宋体" w:cs="宋体"/>
          <w:b/>
          <w:color w:val="000000" w:themeColor="text1"/>
          <w:szCs w:val="22"/>
          <w:highlight w:val="none"/>
          <w14:textFill>
            <w14:solidFill>
              <w14:schemeClr w14:val="tx1"/>
            </w14:solidFill>
          </w14:textFill>
        </w:rPr>
        <w:t xml:space="preserve">1.3 </w:t>
      </w:r>
      <w:bookmarkEnd w:id="75"/>
      <w:bookmarkEnd w:id="76"/>
      <w:bookmarkEnd w:id="77"/>
      <w:bookmarkEnd w:id="78"/>
      <w:bookmarkEnd w:id="79"/>
      <w:bookmarkEnd w:id="80"/>
      <w:bookmarkEnd w:id="81"/>
      <w:bookmarkEnd w:id="82"/>
      <w:bookmarkEnd w:id="83"/>
      <w:r>
        <w:rPr>
          <w:rFonts w:hint="eastAsia" w:ascii="宋体" w:hAnsi="宋体" w:cs="宋体"/>
          <w:b/>
          <w:color w:val="000000" w:themeColor="text1"/>
          <w:szCs w:val="22"/>
          <w:highlight w:val="none"/>
          <w14:textFill>
            <w14:solidFill>
              <w14:schemeClr w14:val="tx1"/>
            </w14:solidFill>
          </w14:textFill>
        </w:rPr>
        <w:t>采购范围</w:t>
      </w:r>
      <w:bookmarkEnd w:id="84"/>
      <w:r>
        <w:rPr>
          <w:rFonts w:hint="eastAsia" w:ascii="宋体" w:hAnsi="宋体" w:cs="宋体"/>
          <w:b/>
          <w:color w:val="000000" w:themeColor="text1"/>
          <w:szCs w:val="22"/>
          <w:highlight w:val="none"/>
          <w14:textFill>
            <w14:solidFill>
              <w14:schemeClr w14:val="tx1"/>
            </w14:solidFill>
          </w14:textFill>
        </w:rPr>
        <w:t>与合同履行期限</w:t>
      </w:r>
    </w:p>
    <w:p w14:paraId="1CC336D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t xml:space="preserve">1.3.1 </w:t>
      </w:r>
      <w:r>
        <w:rPr>
          <w:rFonts w:hint="eastAsia" w:ascii="宋体" w:hAnsi="宋体" w:cs="宋体"/>
          <w:color w:val="000000" w:themeColor="text1"/>
          <w:sz w:val="22"/>
          <w:szCs w:val="22"/>
          <w:highlight w:val="none"/>
          <w14:textFill>
            <w14:solidFill>
              <w14:schemeClr w14:val="tx1"/>
            </w14:solidFill>
          </w14:textFill>
        </w:rPr>
        <w:t>采购范围：见投标人须知前附表。</w:t>
      </w:r>
    </w:p>
    <w:p w14:paraId="081C692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t xml:space="preserve">1.3.2 </w:t>
      </w:r>
      <w:r>
        <w:rPr>
          <w:rFonts w:hint="eastAsia" w:ascii="宋体" w:hAnsi="宋体" w:cs="宋体"/>
          <w:color w:val="000000" w:themeColor="text1"/>
          <w:sz w:val="22"/>
          <w:szCs w:val="22"/>
          <w:highlight w:val="none"/>
          <w14:textFill>
            <w14:solidFill>
              <w14:schemeClr w14:val="tx1"/>
            </w14:solidFill>
          </w14:textFill>
        </w:rPr>
        <w:t>合同履行期限：见投标人须知前附表。</w:t>
      </w:r>
    </w:p>
    <w:p w14:paraId="44FB68E4">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bookmarkStart w:id="85" w:name="_Toc179632551"/>
      <w:bookmarkStart w:id="86" w:name="_Toc152045534"/>
      <w:bookmarkStart w:id="87" w:name="_Toc152042310"/>
      <w:bookmarkStart w:id="88" w:name="_Toc246996922"/>
      <w:bookmarkStart w:id="89" w:name="_Toc144974502"/>
      <w:bookmarkStart w:id="90" w:name="_Toc246996179"/>
      <w:bookmarkStart w:id="91" w:name="_Toc426469875"/>
      <w:bookmarkStart w:id="92" w:name="_Toc343525509"/>
      <w:bookmarkStart w:id="93" w:name="_Toc247085693"/>
      <w:bookmarkStart w:id="94" w:name="_Toc383438596"/>
      <w:r>
        <w:rPr>
          <w:rFonts w:hint="eastAsia" w:ascii="宋体" w:hAnsi="宋体" w:cs="宋体"/>
          <w:b/>
          <w:color w:val="000000" w:themeColor="text1"/>
          <w:szCs w:val="22"/>
          <w:highlight w:val="none"/>
          <w14:textFill>
            <w14:solidFill>
              <w14:schemeClr w14:val="tx1"/>
            </w14:solidFill>
          </w14:textFill>
        </w:rPr>
        <w:t>1.4 投标人资格要求</w:t>
      </w:r>
      <w:bookmarkEnd w:id="85"/>
      <w:bookmarkEnd w:id="86"/>
      <w:bookmarkEnd w:id="87"/>
      <w:bookmarkEnd w:id="88"/>
      <w:bookmarkEnd w:id="89"/>
      <w:bookmarkEnd w:id="90"/>
      <w:bookmarkEnd w:id="91"/>
      <w:bookmarkEnd w:id="92"/>
      <w:bookmarkEnd w:id="93"/>
      <w:bookmarkEnd w:id="94"/>
    </w:p>
    <w:p w14:paraId="7BF3DD9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t xml:space="preserve">1.4.1 </w:t>
      </w:r>
      <w:r>
        <w:rPr>
          <w:rFonts w:hint="eastAsia" w:ascii="宋体" w:hAnsi="宋体" w:cs="宋体"/>
          <w:color w:val="000000" w:themeColor="text1"/>
          <w:sz w:val="22"/>
          <w:szCs w:val="22"/>
          <w:highlight w:val="none"/>
          <w14:textFill>
            <w14:solidFill>
              <w14:schemeClr w14:val="tx1"/>
            </w14:solidFill>
          </w14:textFill>
        </w:rPr>
        <w:t>投标人参加政府采购活动应当具备下列条件：</w:t>
      </w:r>
    </w:p>
    <w:p w14:paraId="55893090">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r>
        <w:rPr>
          <w:rFonts w:ascii="宋体" w:hAnsi="宋体" w:cs="宋体"/>
          <w:color w:val="000000" w:themeColor="text1"/>
          <w:sz w:val="22"/>
          <w:szCs w:val="22"/>
          <w:highlight w:val="none"/>
          <w14:textFill>
            <w14:solidFill>
              <w14:schemeClr w14:val="tx1"/>
            </w14:solidFill>
          </w14:textFill>
        </w:rPr>
        <w:t>1</w:t>
      </w:r>
      <w:r>
        <w:rPr>
          <w:rFonts w:hint="eastAsia" w:ascii="宋体" w:hAnsi="宋体" w:cs="宋体"/>
          <w:color w:val="000000" w:themeColor="text1"/>
          <w:sz w:val="22"/>
          <w:szCs w:val="22"/>
          <w:highlight w:val="none"/>
          <w14:textFill>
            <w14:solidFill>
              <w14:schemeClr w14:val="tx1"/>
            </w14:solidFill>
          </w14:textFill>
        </w:rPr>
        <w:t>）具有独立承担民事责任的能力；</w:t>
      </w:r>
    </w:p>
    <w:p w14:paraId="0B18F96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r>
        <w:rPr>
          <w:rFonts w:ascii="宋体" w:hAnsi="宋体" w:cs="宋体"/>
          <w:color w:val="000000" w:themeColor="text1"/>
          <w:sz w:val="22"/>
          <w:szCs w:val="22"/>
          <w:highlight w:val="none"/>
          <w14:textFill>
            <w14:solidFill>
              <w14:schemeClr w14:val="tx1"/>
            </w14:solidFill>
          </w14:textFill>
        </w:rPr>
        <w:t>2</w:t>
      </w:r>
      <w:r>
        <w:rPr>
          <w:rFonts w:hint="eastAsia" w:ascii="宋体" w:hAnsi="宋体" w:cs="宋体"/>
          <w:color w:val="000000" w:themeColor="text1"/>
          <w:sz w:val="22"/>
          <w:szCs w:val="22"/>
          <w:highlight w:val="none"/>
          <w14:textFill>
            <w14:solidFill>
              <w14:schemeClr w14:val="tx1"/>
            </w14:solidFill>
          </w14:textFill>
        </w:rPr>
        <w:t>）具有良好的商业信誉和健全的财务会计制度；</w:t>
      </w:r>
    </w:p>
    <w:p w14:paraId="5825A0C4">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r>
        <w:rPr>
          <w:rFonts w:ascii="宋体" w:hAnsi="宋体" w:cs="宋体"/>
          <w:color w:val="000000" w:themeColor="text1"/>
          <w:sz w:val="22"/>
          <w:szCs w:val="22"/>
          <w:highlight w:val="none"/>
          <w14:textFill>
            <w14:solidFill>
              <w14:schemeClr w14:val="tx1"/>
            </w14:solidFill>
          </w14:textFill>
        </w:rPr>
        <w:t>3</w:t>
      </w:r>
      <w:r>
        <w:rPr>
          <w:rFonts w:hint="eastAsia" w:ascii="宋体" w:hAnsi="宋体" w:cs="宋体"/>
          <w:color w:val="000000" w:themeColor="text1"/>
          <w:sz w:val="22"/>
          <w:szCs w:val="22"/>
          <w:highlight w:val="none"/>
          <w14:textFill>
            <w14:solidFill>
              <w14:schemeClr w14:val="tx1"/>
            </w14:solidFill>
          </w14:textFill>
        </w:rPr>
        <w:t>）具有履行合同所必需的设备和专业技术能力；</w:t>
      </w:r>
    </w:p>
    <w:p w14:paraId="369554B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r>
        <w:rPr>
          <w:rFonts w:ascii="宋体" w:hAnsi="宋体" w:cs="宋体"/>
          <w:color w:val="000000" w:themeColor="text1"/>
          <w:sz w:val="22"/>
          <w:szCs w:val="22"/>
          <w:highlight w:val="none"/>
          <w14:textFill>
            <w14:solidFill>
              <w14:schemeClr w14:val="tx1"/>
            </w14:solidFill>
          </w14:textFill>
        </w:rPr>
        <w:t>4</w:t>
      </w:r>
      <w:r>
        <w:rPr>
          <w:rFonts w:hint="eastAsia" w:ascii="宋体" w:hAnsi="宋体" w:cs="宋体"/>
          <w:color w:val="000000" w:themeColor="text1"/>
          <w:sz w:val="22"/>
          <w:szCs w:val="22"/>
          <w:highlight w:val="none"/>
          <w14:textFill>
            <w14:solidFill>
              <w14:schemeClr w14:val="tx1"/>
            </w14:solidFill>
          </w14:textFill>
        </w:rPr>
        <w:t>）有依法缴纳税收和社会保障资金的良好记录；</w:t>
      </w:r>
    </w:p>
    <w:p w14:paraId="19DF142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r>
        <w:rPr>
          <w:rFonts w:ascii="宋体" w:hAnsi="宋体" w:cs="宋体"/>
          <w:color w:val="000000" w:themeColor="text1"/>
          <w:sz w:val="22"/>
          <w:szCs w:val="22"/>
          <w:highlight w:val="none"/>
          <w14:textFill>
            <w14:solidFill>
              <w14:schemeClr w14:val="tx1"/>
            </w14:solidFill>
          </w14:textFill>
        </w:rPr>
        <w:t>5</w:t>
      </w:r>
      <w:r>
        <w:rPr>
          <w:rFonts w:hint="eastAsia" w:ascii="宋体" w:hAnsi="宋体" w:cs="宋体"/>
          <w:color w:val="000000" w:themeColor="text1"/>
          <w:sz w:val="22"/>
          <w:szCs w:val="22"/>
          <w:highlight w:val="none"/>
          <w14:textFill>
            <w14:solidFill>
              <w14:schemeClr w14:val="tx1"/>
            </w14:solidFill>
          </w14:textFill>
        </w:rPr>
        <w:t>）参加政府采购活动前三年内，在经营活动中没有重大违法记录；</w:t>
      </w:r>
    </w:p>
    <w:p w14:paraId="1E1597DB">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r>
        <w:rPr>
          <w:rFonts w:ascii="宋体" w:hAnsi="宋体" w:cs="宋体"/>
          <w:color w:val="000000" w:themeColor="text1"/>
          <w:sz w:val="22"/>
          <w:szCs w:val="22"/>
          <w:highlight w:val="none"/>
          <w14:textFill>
            <w14:solidFill>
              <w14:schemeClr w14:val="tx1"/>
            </w14:solidFill>
          </w14:textFill>
        </w:rPr>
        <w:t>6</w:t>
      </w:r>
      <w:r>
        <w:rPr>
          <w:rFonts w:hint="eastAsia" w:ascii="宋体" w:hAnsi="宋体" w:cs="宋体"/>
          <w:color w:val="000000" w:themeColor="text1"/>
          <w:sz w:val="22"/>
          <w:szCs w:val="22"/>
          <w:highlight w:val="none"/>
          <w14:textFill>
            <w14:solidFill>
              <w14:schemeClr w14:val="tx1"/>
            </w14:solidFill>
          </w14:textFill>
        </w:rPr>
        <w:t>）法律、行政法规规定的其他条件。</w:t>
      </w:r>
    </w:p>
    <w:p w14:paraId="3D6F650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t>1.4.2</w:t>
      </w:r>
      <w:r>
        <w:rPr>
          <w:rFonts w:hint="eastAsia" w:ascii="宋体" w:hAnsi="宋体" w:cs="宋体"/>
          <w:color w:val="000000" w:themeColor="text1"/>
          <w:sz w:val="22"/>
          <w:szCs w:val="22"/>
          <w:highlight w:val="none"/>
          <w14:textFill>
            <w14:solidFill>
              <w14:schemeClr w14:val="tx1"/>
            </w14:solidFill>
          </w14:textFill>
        </w:rPr>
        <w:t>根据采购项目特殊要求，要求投标人具备的特定条件：见投标人须知前附表。</w:t>
      </w:r>
    </w:p>
    <w:p w14:paraId="7584A246">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t>1.4.3</w:t>
      </w:r>
      <w:r>
        <w:rPr>
          <w:rFonts w:hint="eastAsia" w:ascii="宋体" w:hAnsi="宋体" w:cs="宋体"/>
          <w:color w:val="000000" w:themeColor="text1"/>
          <w:sz w:val="22"/>
          <w:szCs w:val="22"/>
          <w:highlight w:val="none"/>
          <w14:textFill>
            <w14:solidFill>
              <w14:schemeClr w14:val="tx1"/>
            </w14:solidFill>
          </w14:textFill>
        </w:rPr>
        <w:t>投标人不得存在下列情形之一：</w:t>
      </w:r>
    </w:p>
    <w:p w14:paraId="7C524F9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r>
        <w:rPr>
          <w:rFonts w:ascii="宋体" w:hAnsi="宋体" w:cs="宋体"/>
          <w:color w:val="000000" w:themeColor="text1"/>
          <w:sz w:val="22"/>
          <w:szCs w:val="22"/>
          <w:highlight w:val="none"/>
          <w14:textFill>
            <w14:solidFill>
              <w14:schemeClr w14:val="tx1"/>
            </w14:solidFill>
          </w14:textFill>
        </w:rPr>
        <w:t>l</w:t>
      </w:r>
      <w:r>
        <w:rPr>
          <w:rFonts w:hint="eastAsia" w:ascii="宋体" w:hAnsi="宋体" w:cs="宋体"/>
          <w:color w:val="000000" w:themeColor="text1"/>
          <w:sz w:val="22"/>
          <w:szCs w:val="22"/>
          <w:highlight w:val="none"/>
          <w14:textFill>
            <w14:solidFill>
              <w14:schemeClr w14:val="tx1"/>
            </w14:solidFill>
          </w14:textFill>
        </w:rPr>
        <w:t>）与采购人或采购代理机构存在隶属关系或者其他利害关系；</w:t>
      </w:r>
    </w:p>
    <w:p w14:paraId="7CC5215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r>
        <w:rPr>
          <w:rFonts w:ascii="宋体" w:hAnsi="宋体" w:cs="宋体"/>
          <w:color w:val="000000" w:themeColor="text1"/>
          <w:sz w:val="22"/>
          <w:szCs w:val="22"/>
          <w:highlight w:val="none"/>
          <w14:textFill>
            <w14:solidFill>
              <w14:schemeClr w14:val="tx1"/>
            </w14:solidFill>
          </w14:textFill>
        </w:rPr>
        <w:t>2</w:t>
      </w:r>
      <w:r>
        <w:rPr>
          <w:rFonts w:hint="eastAsia" w:ascii="宋体" w:hAnsi="宋体" w:cs="宋体"/>
          <w:color w:val="000000" w:themeColor="text1"/>
          <w:sz w:val="22"/>
          <w:szCs w:val="22"/>
          <w:highlight w:val="none"/>
          <w14:textFill>
            <w14:solidFill>
              <w14:schemeClr w14:val="tx1"/>
            </w14:solidFill>
          </w14:textFill>
        </w:rPr>
        <w:t>）为采购项目提供了整体设计、规范编制或者项目管理、监理、检测、质量控制等服务；</w:t>
      </w:r>
    </w:p>
    <w:p w14:paraId="319DB2D8">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r>
        <w:rPr>
          <w:rFonts w:ascii="宋体" w:hAnsi="宋体" w:cs="宋体"/>
          <w:color w:val="000000" w:themeColor="text1"/>
          <w:sz w:val="22"/>
          <w:szCs w:val="22"/>
          <w:highlight w:val="none"/>
          <w14:textFill>
            <w14:solidFill>
              <w14:schemeClr w14:val="tx1"/>
            </w14:solidFill>
          </w14:textFill>
        </w:rPr>
        <w:t>3</w:t>
      </w:r>
      <w:r>
        <w:rPr>
          <w:rFonts w:hint="eastAsia" w:ascii="宋体" w:hAnsi="宋体" w:cs="宋体"/>
          <w:color w:val="000000" w:themeColor="text1"/>
          <w:sz w:val="22"/>
          <w:szCs w:val="22"/>
          <w:highlight w:val="none"/>
          <w14:textFill>
            <w14:solidFill>
              <w14:schemeClr w14:val="tx1"/>
            </w14:solidFill>
          </w14:textFill>
        </w:rPr>
        <w:t>）单位负责人为同一人或者存在直接控股、管理关系的不同投标人，参加同一合同项下的政府采购活动。</w:t>
      </w:r>
    </w:p>
    <w:p w14:paraId="09E2DC04">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（4）以联合体形式参加政府采购活动的，联合体各方再单独参加或者与其他投标人另外组成联合体参加同一合同项下的政府采购活动。</w:t>
      </w:r>
    </w:p>
    <w:p w14:paraId="5F1F4D3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（5）法律、行政法规规定的其他条件。</w:t>
      </w:r>
    </w:p>
    <w:p w14:paraId="4EE2D116">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bookmarkStart w:id="95" w:name="_Toc246996923"/>
      <w:bookmarkStart w:id="96" w:name="_Toc343525510"/>
      <w:bookmarkStart w:id="97" w:name="_Toc152042311"/>
      <w:bookmarkStart w:id="98" w:name="_Toc179632552"/>
      <w:bookmarkStart w:id="99" w:name="_Toc383438597"/>
      <w:bookmarkStart w:id="100" w:name="_Toc144974503"/>
      <w:bookmarkStart w:id="101" w:name="_Toc247085694"/>
      <w:bookmarkStart w:id="102" w:name="_Toc246996180"/>
      <w:bookmarkStart w:id="103" w:name="_Toc426469876"/>
      <w:bookmarkStart w:id="104" w:name="_Toc152045535"/>
      <w:r>
        <w:rPr>
          <w:rFonts w:hint="eastAsia" w:ascii="宋体" w:hAnsi="宋体" w:cs="宋体"/>
          <w:b/>
          <w:color w:val="000000" w:themeColor="text1"/>
          <w:szCs w:val="22"/>
          <w:highlight w:val="none"/>
          <w14:textFill>
            <w14:solidFill>
              <w14:schemeClr w14:val="tx1"/>
            </w14:solidFill>
          </w14:textFill>
        </w:rPr>
        <w:t>1.5费用承担</w:t>
      </w:r>
      <w:bookmarkEnd w:id="95"/>
      <w:bookmarkEnd w:id="96"/>
      <w:bookmarkEnd w:id="97"/>
      <w:bookmarkEnd w:id="98"/>
      <w:bookmarkEnd w:id="99"/>
      <w:bookmarkEnd w:id="100"/>
      <w:bookmarkEnd w:id="101"/>
      <w:bookmarkEnd w:id="102"/>
      <w:bookmarkEnd w:id="103"/>
      <w:bookmarkEnd w:id="104"/>
    </w:p>
    <w:p w14:paraId="6E7C0E1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无论采购结果如何，投标人为准备和参加投标活动发生的费用自理。</w:t>
      </w:r>
    </w:p>
    <w:p w14:paraId="28362F33">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bookmarkStart w:id="105" w:name="_Toc144974505"/>
      <w:bookmarkStart w:id="106" w:name="_Toc152042313"/>
      <w:bookmarkStart w:id="107" w:name="_Toc426469878"/>
      <w:bookmarkStart w:id="108" w:name="_Toc246996925"/>
      <w:bookmarkStart w:id="109" w:name="_Toc247085696"/>
      <w:bookmarkStart w:id="110" w:name="_Toc179632554"/>
      <w:bookmarkStart w:id="111" w:name="_Toc343525512"/>
      <w:bookmarkStart w:id="112" w:name="_Toc152045537"/>
      <w:bookmarkStart w:id="113" w:name="_Toc246996182"/>
      <w:bookmarkStart w:id="114" w:name="_Toc383438599"/>
      <w:r>
        <w:rPr>
          <w:rFonts w:hint="eastAsia" w:ascii="宋体" w:hAnsi="宋体" w:cs="宋体"/>
          <w:b/>
          <w:color w:val="000000" w:themeColor="text1"/>
          <w:szCs w:val="22"/>
          <w:highlight w:val="none"/>
          <w14:textFill>
            <w14:solidFill>
              <w14:schemeClr w14:val="tx1"/>
            </w14:solidFill>
          </w14:textFill>
        </w:rPr>
        <w:t>1.6语言</w:t>
      </w:r>
      <w:bookmarkEnd w:id="105"/>
      <w:r>
        <w:rPr>
          <w:rFonts w:hint="eastAsia" w:ascii="宋体" w:hAnsi="宋体" w:cs="宋体"/>
          <w:b/>
          <w:color w:val="000000" w:themeColor="text1"/>
          <w:szCs w:val="22"/>
          <w:highlight w:val="none"/>
          <w14:textFill>
            <w14:solidFill>
              <w14:schemeClr w14:val="tx1"/>
            </w14:solidFill>
          </w14:textFill>
        </w:rPr>
        <w:t>文字</w:t>
      </w:r>
      <w:bookmarkEnd w:id="106"/>
      <w:bookmarkEnd w:id="107"/>
      <w:bookmarkEnd w:id="108"/>
      <w:bookmarkEnd w:id="109"/>
      <w:bookmarkEnd w:id="110"/>
      <w:bookmarkEnd w:id="111"/>
      <w:bookmarkEnd w:id="112"/>
      <w:bookmarkEnd w:id="113"/>
      <w:bookmarkEnd w:id="114"/>
    </w:p>
    <w:p w14:paraId="41BD8813">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bookmarkStart w:id="115" w:name="_Toc246996183"/>
      <w:bookmarkStart w:id="116" w:name="_Toc144974506"/>
      <w:bookmarkStart w:id="117" w:name="_Toc179632555"/>
      <w:bookmarkStart w:id="118" w:name="_Toc152045538"/>
      <w:bookmarkStart w:id="119" w:name="_Toc247085697"/>
      <w:bookmarkStart w:id="120" w:name="_Toc152042314"/>
      <w:bookmarkStart w:id="121" w:name="_Toc246996926"/>
      <w:r>
        <w:rPr>
          <w:rFonts w:hint="eastAsia" w:ascii="宋体" w:hAnsi="宋体" w:cs="宋体"/>
          <w:color w:val="000000" w:themeColor="text1"/>
          <w:sz w:val="22"/>
          <w:szCs w:val="22"/>
          <w:highlight w:val="none"/>
          <w14:textFill>
            <w14:solidFill>
              <w14:schemeClr w14:val="tx1"/>
            </w14:solidFill>
          </w14:textFill>
        </w:rPr>
        <w:t>招投标文件使用的语言文字为中文。专用术语使用外文的，应附有中文注释。</w:t>
      </w:r>
    </w:p>
    <w:p w14:paraId="1F1A24DC">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bookmarkStart w:id="122" w:name="_Toc343525513"/>
      <w:bookmarkStart w:id="123" w:name="_Toc383438600"/>
      <w:bookmarkStart w:id="124" w:name="_Toc426469879"/>
      <w:r>
        <w:rPr>
          <w:rFonts w:hint="eastAsia" w:ascii="宋体" w:hAnsi="宋体" w:cs="宋体"/>
          <w:b/>
          <w:color w:val="000000" w:themeColor="text1"/>
          <w:szCs w:val="22"/>
          <w:highlight w:val="none"/>
          <w14:textFill>
            <w14:solidFill>
              <w14:schemeClr w14:val="tx1"/>
            </w14:solidFill>
          </w14:textFill>
        </w:rPr>
        <w:t>1.7计量单位</w:t>
      </w:r>
      <w:bookmarkEnd w:id="115"/>
      <w:bookmarkEnd w:id="116"/>
      <w:bookmarkEnd w:id="117"/>
      <w:bookmarkEnd w:id="118"/>
      <w:bookmarkEnd w:id="119"/>
      <w:bookmarkEnd w:id="120"/>
      <w:bookmarkEnd w:id="121"/>
      <w:bookmarkEnd w:id="122"/>
      <w:bookmarkEnd w:id="123"/>
      <w:bookmarkEnd w:id="124"/>
    </w:p>
    <w:p w14:paraId="4904CB3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所有计量均采用中华人民共和国法定计量单位。</w:t>
      </w:r>
    </w:p>
    <w:p w14:paraId="57F5A94B">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bookmarkStart w:id="125" w:name="_Toc426469881"/>
      <w:r>
        <w:rPr>
          <w:rFonts w:hint="eastAsia" w:ascii="宋体" w:hAnsi="宋体" w:cs="宋体"/>
          <w:b/>
          <w:color w:val="000000" w:themeColor="text1"/>
          <w:szCs w:val="22"/>
          <w:highlight w:val="none"/>
          <w14:textFill>
            <w14:solidFill>
              <w14:schemeClr w14:val="tx1"/>
            </w14:solidFill>
          </w14:textFill>
        </w:rPr>
        <w:t>1.8偏离</w:t>
      </w:r>
      <w:bookmarkEnd w:id="125"/>
    </w:p>
    <w:p w14:paraId="066C7CB0">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t>1.</w:t>
      </w:r>
      <w:r>
        <w:rPr>
          <w:rFonts w:hint="eastAsia" w:ascii="宋体" w:hAnsi="宋体" w:cs="宋体"/>
          <w:color w:val="000000" w:themeColor="text1"/>
          <w:sz w:val="22"/>
          <w:szCs w:val="22"/>
          <w:highlight w:val="none"/>
          <w14:textFill>
            <w14:solidFill>
              <w14:schemeClr w14:val="tx1"/>
            </w14:solidFill>
          </w14:textFill>
        </w:rPr>
        <w:t>8</w:t>
      </w:r>
      <w:r>
        <w:rPr>
          <w:rFonts w:ascii="宋体" w:hAnsi="宋体" w:cs="宋体"/>
          <w:color w:val="000000" w:themeColor="text1"/>
          <w:sz w:val="22"/>
          <w:szCs w:val="22"/>
          <w:highlight w:val="none"/>
          <w14:textFill>
            <w14:solidFill>
              <w14:schemeClr w14:val="tx1"/>
            </w14:solidFill>
          </w14:textFill>
        </w:rPr>
        <w:t>.1</w:t>
      </w:r>
      <w:r>
        <w:rPr>
          <w:rFonts w:hint="eastAsia" w:ascii="宋体" w:hAnsi="宋体" w:cs="宋体"/>
          <w:color w:val="000000" w:themeColor="text1"/>
          <w:sz w:val="22"/>
          <w:szCs w:val="22"/>
          <w:highlight w:val="none"/>
          <w14:textFill>
            <w14:solidFill>
              <w14:schemeClr w14:val="tx1"/>
            </w14:solidFill>
          </w14:textFill>
        </w:rPr>
        <w:t>偏离是指投标文件中的内容与招标文件中规定的技术参数、标准、服务要求等不一致的情形。优于招标文件规定的技术参数、标准、服务要求的为正偏离，反之为负偏离。</w:t>
      </w:r>
    </w:p>
    <w:p w14:paraId="0AF828A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t>1.</w:t>
      </w:r>
      <w:r>
        <w:rPr>
          <w:rFonts w:hint="eastAsia" w:ascii="宋体" w:hAnsi="宋体" w:cs="宋体"/>
          <w:color w:val="000000" w:themeColor="text1"/>
          <w:sz w:val="22"/>
          <w:szCs w:val="22"/>
          <w:highlight w:val="none"/>
          <w14:textFill>
            <w14:solidFill>
              <w14:schemeClr w14:val="tx1"/>
            </w14:solidFill>
          </w14:textFill>
        </w:rPr>
        <w:t>8</w:t>
      </w:r>
      <w:r>
        <w:rPr>
          <w:rFonts w:ascii="宋体" w:hAnsi="宋体" w:cs="宋体"/>
          <w:color w:val="000000" w:themeColor="text1"/>
          <w:sz w:val="22"/>
          <w:szCs w:val="22"/>
          <w:highlight w:val="none"/>
          <w14:textFill>
            <w14:solidFill>
              <w14:schemeClr w14:val="tx1"/>
            </w14:solidFill>
          </w14:textFill>
        </w:rPr>
        <w:t>.2</w:t>
      </w:r>
      <w:r>
        <w:rPr>
          <w:rFonts w:hint="eastAsia" w:ascii="宋体" w:hAnsi="宋体" w:cs="宋体"/>
          <w:color w:val="000000" w:themeColor="text1"/>
          <w:sz w:val="22"/>
          <w:szCs w:val="22"/>
          <w:highlight w:val="none"/>
          <w14:textFill>
            <w14:solidFill>
              <w14:schemeClr w14:val="tx1"/>
            </w14:solidFill>
          </w14:textFill>
        </w:rPr>
        <w:t>偏离的具体要求见投标人须知前附表。</w:t>
      </w:r>
    </w:p>
    <w:p w14:paraId="6D3B8745">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bookmarkStart w:id="126" w:name="_Toc426469882"/>
      <w:bookmarkStart w:id="127" w:name="_Toc343525517"/>
      <w:bookmarkStart w:id="128" w:name="_Toc383438604"/>
      <w:r>
        <w:rPr>
          <w:rFonts w:hint="eastAsia" w:ascii="宋体" w:hAnsi="宋体" w:cs="宋体"/>
          <w:b/>
          <w:color w:val="000000" w:themeColor="text1"/>
          <w:szCs w:val="22"/>
          <w:highlight w:val="none"/>
          <w14:textFill>
            <w14:solidFill>
              <w14:schemeClr w14:val="tx1"/>
            </w14:solidFill>
          </w14:textFill>
        </w:rPr>
        <w:t>2. 招标文件</w:t>
      </w:r>
      <w:bookmarkEnd w:id="126"/>
      <w:bookmarkEnd w:id="127"/>
      <w:bookmarkEnd w:id="128"/>
    </w:p>
    <w:p w14:paraId="1FC159A7">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bookmarkStart w:id="129" w:name="_Toc247085702"/>
      <w:bookmarkStart w:id="130" w:name="_Toc343525518"/>
      <w:bookmarkStart w:id="131" w:name="_Toc144974511"/>
      <w:bookmarkStart w:id="132" w:name="_Toc383438605"/>
      <w:bookmarkStart w:id="133" w:name="_Toc152042319"/>
      <w:bookmarkStart w:id="134" w:name="_Toc426469883"/>
      <w:bookmarkStart w:id="135" w:name="_Toc246996188"/>
      <w:bookmarkStart w:id="136" w:name="_Toc152045543"/>
      <w:bookmarkStart w:id="137" w:name="_Toc246996931"/>
      <w:bookmarkStart w:id="138" w:name="_Toc179632561"/>
      <w:r>
        <w:rPr>
          <w:rFonts w:hint="eastAsia" w:ascii="宋体" w:hAnsi="宋体" w:cs="宋体"/>
          <w:b/>
          <w:color w:val="000000" w:themeColor="text1"/>
          <w:szCs w:val="22"/>
          <w:highlight w:val="none"/>
          <w14:textFill>
            <w14:solidFill>
              <w14:schemeClr w14:val="tx1"/>
            </w14:solidFill>
          </w14:textFill>
        </w:rPr>
        <w:t>2.1 招标文件的组成</w:t>
      </w:r>
      <w:bookmarkEnd w:id="129"/>
      <w:bookmarkEnd w:id="130"/>
      <w:bookmarkEnd w:id="131"/>
      <w:bookmarkEnd w:id="132"/>
      <w:bookmarkEnd w:id="133"/>
      <w:bookmarkEnd w:id="134"/>
      <w:bookmarkEnd w:id="135"/>
      <w:bookmarkEnd w:id="136"/>
      <w:bookmarkEnd w:id="137"/>
      <w:bookmarkEnd w:id="138"/>
    </w:p>
    <w:p w14:paraId="5799319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t xml:space="preserve">2.1.1 </w:t>
      </w:r>
      <w:r>
        <w:rPr>
          <w:rFonts w:hint="eastAsia" w:ascii="宋体" w:hAnsi="宋体" w:cs="宋体"/>
          <w:color w:val="000000" w:themeColor="text1"/>
          <w:sz w:val="22"/>
          <w:szCs w:val="22"/>
          <w:highlight w:val="none"/>
          <w14:textFill>
            <w14:solidFill>
              <w14:schemeClr w14:val="tx1"/>
            </w14:solidFill>
          </w14:textFill>
        </w:rPr>
        <w:t>本招标文件包括：</w:t>
      </w:r>
    </w:p>
    <w:p w14:paraId="2B1114A0">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r>
        <w:rPr>
          <w:rFonts w:ascii="宋体" w:hAnsi="宋体" w:cs="宋体"/>
          <w:color w:val="000000" w:themeColor="text1"/>
          <w:sz w:val="22"/>
          <w:szCs w:val="22"/>
          <w:highlight w:val="none"/>
          <w14:textFill>
            <w14:solidFill>
              <w14:schemeClr w14:val="tx1"/>
            </w14:solidFill>
          </w14:textFill>
        </w:rPr>
        <w:t>1</w:t>
      </w:r>
      <w:r>
        <w:rPr>
          <w:rFonts w:hint="eastAsia" w:ascii="宋体" w:hAnsi="宋体" w:cs="宋体"/>
          <w:color w:val="000000" w:themeColor="text1"/>
          <w:sz w:val="22"/>
          <w:szCs w:val="22"/>
          <w:highlight w:val="none"/>
          <w14:textFill>
            <w14:solidFill>
              <w14:schemeClr w14:val="tx1"/>
            </w14:solidFill>
          </w14:textFill>
        </w:rPr>
        <w:t>）招标公告；</w:t>
      </w:r>
    </w:p>
    <w:p w14:paraId="495107A1">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r>
        <w:rPr>
          <w:rFonts w:ascii="宋体" w:hAnsi="宋体" w:cs="宋体"/>
          <w:color w:val="000000" w:themeColor="text1"/>
          <w:sz w:val="22"/>
          <w:szCs w:val="22"/>
          <w:highlight w:val="none"/>
          <w14:textFill>
            <w14:solidFill>
              <w14:schemeClr w14:val="tx1"/>
            </w14:solidFill>
          </w14:textFill>
        </w:rPr>
        <w:t>2</w:t>
      </w:r>
      <w:r>
        <w:rPr>
          <w:rFonts w:hint="eastAsia" w:ascii="宋体" w:hAnsi="宋体" w:cs="宋体"/>
          <w:color w:val="000000" w:themeColor="text1"/>
          <w:sz w:val="22"/>
          <w:szCs w:val="22"/>
          <w:highlight w:val="none"/>
          <w14:textFill>
            <w14:solidFill>
              <w14:schemeClr w14:val="tx1"/>
            </w14:solidFill>
          </w14:textFill>
        </w:rPr>
        <w:t>）投标人须知；</w:t>
      </w:r>
    </w:p>
    <w:p w14:paraId="449E8C98">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r>
        <w:rPr>
          <w:rFonts w:ascii="宋体" w:hAnsi="宋体" w:cs="宋体"/>
          <w:color w:val="000000" w:themeColor="text1"/>
          <w:sz w:val="22"/>
          <w:szCs w:val="22"/>
          <w:highlight w:val="none"/>
          <w14:textFill>
            <w14:solidFill>
              <w14:schemeClr w14:val="tx1"/>
            </w14:solidFill>
          </w14:textFill>
        </w:rPr>
        <w:t>3</w:t>
      </w:r>
      <w:r>
        <w:rPr>
          <w:rFonts w:hint="eastAsia" w:ascii="宋体" w:hAnsi="宋体" w:cs="宋体"/>
          <w:color w:val="000000" w:themeColor="text1"/>
          <w:sz w:val="22"/>
          <w:szCs w:val="22"/>
          <w:highlight w:val="none"/>
          <w14:textFill>
            <w14:solidFill>
              <w14:schemeClr w14:val="tx1"/>
            </w14:solidFill>
          </w14:textFill>
        </w:rPr>
        <w:t>）资格审查及评标办法；</w:t>
      </w:r>
    </w:p>
    <w:p w14:paraId="11848CA5">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r>
        <w:rPr>
          <w:rFonts w:ascii="宋体" w:hAnsi="宋体" w:cs="宋体"/>
          <w:color w:val="000000" w:themeColor="text1"/>
          <w:sz w:val="22"/>
          <w:szCs w:val="22"/>
          <w:highlight w:val="none"/>
          <w14:textFill>
            <w14:solidFill>
              <w14:schemeClr w14:val="tx1"/>
            </w14:solidFill>
          </w14:textFill>
        </w:rPr>
        <w:t>4</w:t>
      </w:r>
      <w:r>
        <w:rPr>
          <w:rFonts w:hint="eastAsia" w:ascii="宋体" w:hAnsi="宋体" w:cs="宋体"/>
          <w:color w:val="000000" w:themeColor="text1"/>
          <w:sz w:val="22"/>
          <w:szCs w:val="22"/>
          <w:highlight w:val="none"/>
          <w14:textFill>
            <w14:solidFill>
              <w14:schemeClr w14:val="tx1"/>
            </w14:solidFill>
          </w14:textFill>
        </w:rPr>
        <w:t>）合同条款；</w:t>
      </w:r>
    </w:p>
    <w:p w14:paraId="25145F3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r>
        <w:rPr>
          <w:rFonts w:ascii="宋体" w:hAnsi="宋体" w:cs="宋体"/>
          <w:color w:val="000000" w:themeColor="text1"/>
          <w:sz w:val="22"/>
          <w:szCs w:val="22"/>
          <w:highlight w:val="none"/>
          <w14:textFill>
            <w14:solidFill>
              <w14:schemeClr w14:val="tx1"/>
            </w14:solidFill>
          </w14:textFill>
        </w:rPr>
        <w:t>5</w:t>
      </w:r>
      <w:r>
        <w:rPr>
          <w:rFonts w:hint="eastAsia" w:ascii="宋体" w:hAnsi="宋体" w:cs="宋体"/>
          <w:color w:val="000000" w:themeColor="text1"/>
          <w:sz w:val="22"/>
          <w:szCs w:val="22"/>
          <w:highlight w:val="none"/>
          <w14:textFill>
            <w14:solidFill>
              <w14:schemeClr w14:val="tx1"/>
            </w14:solidFill>
          </w14:textFill>
        </w:rPr>
        <w:t>）采购需求；</w:t>
      </w:r>
    </w:p>
    <w:p w14:paraId="1995D9E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r>
        <w:rPr>
          <w:rFonts w:ascii="宋体" w:hAnsi="宋体" w:cs="宋体"/>
          <w:color w:val="000000" w:themeColor="text1"/>
          <w:sz w:val="22"/>
          <w:szCs w:val="22"/>
          <w:highlight w:val="none"/>
          <w14:textFill>
            <w14:solidFill>
              <w14:schemeClr w14:val="tx1"/>
            </w14:solidFill>
          </w14:textFill>
        </w:rPr>
        <w:t>6</w:t>
      </w:r>
      <w:r>
        <w:rPr>
          <w:rFonts w:hint="eastAsia" w:ascii="宋体" w:hAnsi="宋体" w:cs="宋体"/>
          <w:color w:val="000000" w:themeColor="text1"/>
          <w:sz w:val="22"/>
          <w:szCs w:val="22"/>
          <w:highlight w:val="none"/>
          <w14:textFill>
            <w14:solidFill>
              <w14:schemeClr w14:val="tx1"/>
            </w14:solidFill>
          </w14:textFill>
        </w:rPr>
        <w:t>）投标文件的编制要求及参考格式；</w:t>
      </w:r>
    </w:p>
    <w:p w14:paraId="24D58F1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color w:val="000000" w:themeColor="text1"/>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r>
        <w:rPr>
          <w:rFonts w:ascii="宋体" w:hAnsi="宋体" w:cs="宋体"/>
          <w:color w:val="000000" w:themeColor="text1"/>
          <w:sz w:val="22"/>
          <w:szCs w:val="22"/>
          <w:highlight w:val="none"/>
          <w14:textFill>
            <w14:solidFill>
              <w14:schemeClr w14:val="tx1"/>
            </w14:solidFill>
          </w14:textFill>
        </w:rPr>
        <w:t>7</w:t>
      </w:r>
      <w:r>
        <w:rPr>
          <w:rFonts w:hint="eastAsia" w:ascii="宋体" w:hAnsi="宋体" w:cs="宋体"/>
          <w:color w:val="000000" w:themeColor="text1"/>
          <w:sz w:val="22"/>
          <w:szCs w:val="22"/>
          <w:highlight w:val="none"/>
          <w14:textFill>
            <w14:solidFill>
              <w14:schemeClr w14:val="tx1"/>
            </w14:solidFill>
          </w14:textFill>
        </w:rPr>
        <w:t>）投标人须知前附表规定的构成招标文件的其他材料。</w:t>
      </w:r>
    </w:p>
    <w:p w14:paraId="2FDE6DB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2.1.2根据本章第2.2款和第2.3款对招标文件所作的澄清、修改，构成招标文件的组成部分。</w:t>
      </w:r>
    </w:p>
    <w:p w14:paraId="03231C6F">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bookmarkStart w:id="139" w:name="_Toc152045544"/>
      <w:bookmarkStart w:id="140" w:name="_Toc426469884"/>
      <w:bookmarkStart w:id="141" w:name="_Toc246996932"/>
      <w:bookmarkStart w:id="142" w:name="_Toc152042320"/>
      <w:bookmarkStart w:id="143" w:name="_Toc383438606"/>
      <w:bookmarkStart w:id="144" w:name="_Toc144974512"/>
      <w:bookmarkStart w:id="145" w:name="_Toc343525519"/>
      <w:bookmarkStart w:id="146" w:name="_Toc179632562"/>
      <w:bookmarkStart w:id="147" w:name="_Toc247085703"/>
      <w:bookmarkStart w:id="148" w:name="_Toc246996189"/>
      <w:r>
        <w:rPr>
          <w:rFonts w:hint="eastAsia" w:ascii="宋体" w:hAnsi="宋体" w:cs="宋体"/>
          <w:b/>
          <w:color w:val="000000" w:themeColor="text1"/>
          <w:szCs w:val="22"/>
          <w:highlight w:val="none"/>
          <w14:textFill>
            <w14:solidFill>
              <w14:schemeClr w14:val="tx1"/>
            </w14:solidFill>
          </w14:textFill>
        </w:rPr>
        <w:t>2.2 招标文件的澄清</w:t>
      </w:r>
      <w:bookmarkEnd w:id="139"/>
      <w:bookmarkEnd w:id="140"/>
      <w:bookmarkEnd w:id="141"/>
      <w:bookmarkEnd w:id="142"/>
      <w:bookmarkEnd w:id="143"/>
      <w:bookmarkEnd w:id="144"/>
      <w:bookmarkEnd w:id="145"/>
      <w:bookmarkEnd w:id="146"/>
      <w:bookmarkEnd w:id="147"/>
      <w:bookmarkEnd w:id="148"/>
    </w:p>
    <w:p w14:paraId="75068ED6">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投标人应仔细阅读和检查招标文件的全部内容。如发现缺页或附件不全，应及时向采购人或采购代理机构提出，以便补齐。如有疑问，应在投标人须知前附表规定的时间前，要求采购人或采购代理机构对招标文件予以澄清。</w:t>
      </w:r>
    </w:p>
    <w:p w14:paraId="17A290A6">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招标文件的澄清将在投标截止时间15天前在原公告信息发布媒体公开发布,但不指明问题的来源。如果澄清发布的时间距投标截止时间不足15天，并且澄清内容影响投标文件编制的，将相应延长投标截止时间。</w:t>
      </w:r>
    </w:p>
    <w:p w14:paraId="5293DFE2">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bookmarkStart w:id="149" w:name="_Toc383438607"/>
      <w:bookmarkStart w:id="150" w:name="_Toc246996933"/>
      <w:bookmarkStart w:id="151" w:name="_Toc152042321"/>
      <w:bookmarkStart w:id="152" w:name="_Toc343525520"/>
      <w:bookmarkStart w:id="153" w:name="_Toc247085704"/>
      <w:bookmarkStart w:id="154" w:name="_Toc179632563"/>
      <w:bookmarkStart w:id="155" w:name="_Toc246996190"/>
      <w:bookmarkStart w:id="156" w:name="_Toc152045545"/>
      <w:bookmarkStart w:id="157" w:name="_Toc426469885"/>
      <w:bookmarkStart w:id="158" w:name="_Toc144974513"/>
      <w:r>
        <w:rPr>
          <w:rFonts w:hint="eastAsia" w:ascii="宋体" w:hAnsi="宋体" w:cs="宋体"/>
          <w:b/>
          <w:color w:val="000000" w:themeColor="text1"/>
          <w:szCs w:val="22"/>
          <w:highlight w:val="none"/>
          <w14:textFill>
            <w14:solidFill>
              <w14:schemeClr w14:val="tx1"/>
            </w14:solidFill>
          </w14:textFill>
        </w:rPr>
        <w:t>2.3 招标文件的修改</w:t>
      </w:r>
      <w:bookmarkEnd w:id="149"/>
      <w:bookmarkEnd w:id="150"/>
      <w:bookmarkEnd w:id="151"/>
      <w:bookmarkEnd w:id="152"/>
      <w:bookmarkEnd w:id="153"/>
      <w:bookmarkEnd w:id="154"/>
      <w:bookmarkEnd w:id="155"/>
      <w:bookmarkEnd w:id="156"/>
      <w:bookmarkEnd w:id="157"/>
      <w:bookmarkEnd w:id="158"/>
    </w:p>
    <w:p w14:paraId="0E00C80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p>
    <w:p w14:paraId="4F078A97">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2.4招标文件的重新发布</w:t>
      </w:r>
    </w:p>
    <w:p w14:paraId="6F5CA3F6">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招标文件的澄清或修改涉及到申请人的资格条件、评标办法、采购需求等实质性内容时，将重新发布招标公告。</w:t>
      </w:r>
    </w:p>
    <w:p w14:paraId="500AFDCA">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bookmarkStart w:id="159" w:name="_Toc247085705"/>
      <w:bookmarkStart w:id="160" w:name="_Toc383438609"/>
      <w:bookmarkStart w:id="161" w:name="_Toc152045546"/>
      <w:bookmarkStart w:id="162" w:name="_Toc179632564"/>
      <w:bookmarkStart w:id="163" w:name="_Toc152042322"/>
      <w:bookmarkStart w:id="164" w:name="_Toc343525522"/>
      <w:bookmarkStart w:id="165" w:name="_Toc144974514"/>
      <w:bookmarkStart w:id="166" w:name="_Toc246996191"/>
      <w:bookmarkStart w:id="167" w:name="_Toc246996934"/>
      <w:bookmarkStart w:id="168" w:name="_Toc426469887"/>
      <w:r>
        <w:rPr>
          <w:rFonts w:hint="eastAsia" w:ascii="宋体" w:hAnsi="宋体" w:cs="宋体"/>
          <w:b/>
          <w:color w:val="000000" w:themeColor="text1"/>
          <w:szCs w:val="22"/>
          <w:highlight w:val="none"/>
          <w14:textFill>
            <w14:solidFill>
              <w14:schemeClr w14:val="tx1"/>
            </w14:solidFill>
          </w14:textFill>
        </w:rPr>
        <w:t>3. 投标</w:t>
      </w:r>
      <w:bookmarkEnd w:id="159"/>
      <w:bookmarkEnd w:id="160"/>
      <w:bookmarkEnd w:id="161"/>
      <w:bookmarkEnd w:id="162"/>
      <w:bookmarkEnd w:id="163"/>
      <w:bookmarkEnd w:id="164"/>
      <w:bookmarkEnd w:id="165"/>
      <w:bookmarkEnd w:id="166"/>
      <w:bookmarkEnd w:id="167"/>
      <w:r>
        <w:rPr>
          <w:rFonts w:hint="eastAsia" w:ascii="宋体" w:hAnsi="宋体" w:cs="宋体"/>
          <w:b/>
          <w:color w:val="000000" w:themeColor="text1"/>
          <w:szCs w:val="22"/>
          <w:highlight w:val="none"/>
          <w14:textFill>
            <w14:solidFill>
              <w14:schemeClr w14:val="tx1"/>
            </w14:solidFill>
          </w14:textFill>
        </w:rPr>
        <w:t>文件</w:t>
      </w:r>
      <w:bookmarkEnd w:id="168"/>
    </w:p>
    <w:p w14:paraId="50B71E1A">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bookmarkStart w:id="169" w:name="_Toc152042323"/>
      <w:bookmarkStart w:id="170" w:name="_Toc343525523"/>
      <w:bookmarkStart w:id="171" w:name="_Toc246996935"/>
      <w:bookmarkStart w:id="172" w:name="_Toc247085706"/>
      <w:bookmarkStart w:id="173" w:name="_Toc179632565"/>
      <w:bookmarkStart w:id="174" w:name="_Toc144974515"/>
      <w:bookmarkStart w:id="175" w:name="_Toc383438610"/>
      <w:bookmarkStart w:id="176" w:name="_Toc152045547"/>
      <w:bookmarkStart w:id="177" w:name="_Toc246996192"/>
      <w:bookmarkStart w:id="178" w:name="_Toc426469888"/>
      <w:r>
        <w:rPr>
          <w:rFonts w:hint="eastAsia" w:ascii="宋体" w:hAnsi="宋体" w:cs="宋体"/>
          <w:b/>
          <w:color w:val="000000" w:themeColor="text1"/>
          <w:szCs w:val="22"/>
          <w:highlight w:val="none"/>
          <w14:textFill>
            <w14:solidFill>
              <w14:schemeClr w14:val="tx1"/>
            </w14:solidFill>
          </w14:textFill>
        </w:rPr>
        <w:t>3.1</w:t>
      </w:r>
      <w:bookmarkEnd w:id="169"/>
      <w:bookmarkEnd w:id="170"/>
      <w:bookmarkEnd w:id="171"/>
      <w:bookmarkEnd w:id="172"/>
      <w:bookmarkEnd w:id="173"/>
      <w:bookmarkEnd w:id="174"/>
      <w:bookmarkEnd w:id="175"/>
      <w:bookmarkEnd w:id="176"/>
      <w:bookmarkEnd w:id="177"/>
      <w:r>
        <w:rPr>
          <w:rFonts w:hint="eastAsia" w:ascii="宋体" w:hAnsi="宋体" w:cs="宋体"/>
          <w:b/>
          <w:color w:val="000000" w:themeColor="text1"/>
          <w:szCs w:val="22"/>
          <w:highlight w:val="none"/>
          <w14:textFill>
            <w14:solidFill>
              <w14:schemeClr w14:val="tx1"/>
            </w14:solidFill>
          </w14:textFill>
        </w:rPr>
        <w:t>投标文件的组成</w:t>
      </w:r>
      <w:bookmarkEnd w:id="178"/>
    </w:p>
    <w:p w14:paraId="1C0A9E9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投标文件的组成：见投标人须知前附表。</w:t>
      </w:r>
    </w:p>
    <w:p w14:paraId="5E73DEB3">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bookmarkStart w:id="179" w:name="_Toc367785004"/>
      <w:bookmarkStart w:id="180" w:name="_Toc426469889"/>
      <w:r>
        <w:rPr>
          <w:rFonts w:hint="eastAsia" w:ascii="宋体" w:hAnsi="宋体" w:cs="宋体"/>
          <w:b/>
          <w:color w:val="000000" w:themeColor="text1"/>
          <w:szCs w:val="22"/>
          <w:highlight w:val="none"/>
          <w14:textFill>
            <w14:solidFill>
              <w14:schemeClr w14:val="tx1"/>
            </w14:solidFill>
          </w14:textFill>
        </w:rPr>
        <w:t>3.2</w:t>
      </w:r>
      <w:bookmarkEnd w:id="179"/>
      <w:r>
        <w:rPr>
          <w:rFonts w:hint="eastAsia" w:ascii="宋体" w:hAnsi="宋体" w:cs="宋体"/>
          <w:b/>
          <w:color w:val="000000" w:themeColor="text1"/>
          <w:szCs w:val="22"/>
          <w:highlight w:val="none"/>
          <w14:textFill>
            <w14:solidFill>
              <w14:schemeClr w14:val="tx1"/>
            </w14:solidFill>
          </w14:textFill>
        </w:rPr>
        <w:t>投标报价</w:t>
      </w:r>
      <w:bookmarkEnd w:id="180"/>
    </w:p>
    <w:p w14:paraId="1E3367E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bookmarkStart w:id="181" w:name="_Toc144974517"/>
      <w:bookmarkStart w:id="182" w:name="_Toc426469890"/>
      <w:bookmarkStart w:id="183" w:name="_Toc246996194"/>
      <w:bookmarkStart w:id="184" w:name="_Toc152045549"/>
      <w:bookmarkStart w:id="185" w:name="_Toc383438612"/>
      <w:bookmarkStart w:id="186" w:name="_Toc152042325"/>
      <w:bookmarkStart w:id="187" w:name="_Toc246996937"/>
      <w:bookmarkStart w:id="188" w:name="_Toc343525525"/>
      <w:bookmarkStart w:id="189" w:name="_Toc247085708"/>
      <w:bookmarkStart w:id="190" w:name="_Toc179632567"/>
      <w:r>
        <w:rPr>
          <w:rFonts w:hint="eastAsia" w:ascii="宋体" w:hAnsi="宋体" w:cs="宋体"/>
          <w:color w:val="000000" w:themeColor="text1"/>
          <w:sz w:val="22"/>
          <w:szCs w:val="22"/>
          <w:highlight w:val="none"/>
          <w14:textFill>
            <w14:solidFill>
              <w14:schemeClr w14:val="tx1"/>
            </w14:solidFill>
          </w14:textFill>
        </w:rPr>
        <w:t>3.2.1投标人应按招标文件规定的采购需求、责任范围和合同条件，以人民币进行报价。报价包括完成项目的所有费用，采购人不再支付报价以外的任何费用。</w:t>
      </w:r>
    </w:p>
    <w:p w14:paraId="35269BFB">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3.2.2投标人应按开标一览表的内容和格式要求填写价格。投标总价中不得缺漏招标文件所要求的内容，也不得包含招标文件要求以外的内容，否则，在评标时不予核减。</w:t>
      </w:r>
    </w:p>
    <w:p w14:paraId="253ABE75">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3.2.3投标人只允许有一个报价，不接受选择性报价，否则，在评标时将其视为无效投标。</w:t>
      </w:r>
    </w:p>
    <w:p w14:paraId="59A952EA">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3.2.4投标报价不得超过采购最高限价。</w:t>
      </w:r>
    </w:p>
    <w:p w14:paraId="4FDEAEA1">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3.2.5投标文件中标明的价格在合同执行过程中是固定不变的，不得以任何理由予以变更。任何包含价格调整要求和条件的投标，在评标时将被视为无效投标。</w:t>
      </w:r>
    </w:p>
    <w:p w14:paraId="2CDE253D">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3.3投标有效期</w:t>
      </w:r>
      <w:bookmarkEnd w:id="181"/>
      <w:bookmarkEnd w:id="182"/>
      <w:bookmarkEnd w:id="183"/>
      <w:bookmarkEnd w:id="184"/>
      <w:bookmarkEnd w:id="185"/>
      <w:bookmarkEnd w:id="186"/>
      <w:bookmarkEnd w:id="187"/>
      <w:bookmarkEnd w:id="188"/>
      <w:bookmarkEnd w:id="189"/>
      <w:bookmarkEnd w:id="190"/>
    </w:p>
    <w:p w14:paraId="61476B53">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3.3.1在投标人须知前附表规定的投标有效期内，投标人不得要求撤销或修改其投标文件。</w:t>
      </w:r>
    </w:p>
    <w:p w14:paraId="0BED4B03">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3.3.2出现特殊情况需要延长投标有效期的，采购人将以书面形式通知投标人。投标人拒绝延长投标有效期的，其投标失效。</w:t>
      </w:r>
    </w:p>
    <w:p w14:paraId="29636F3C">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bookmarkStart w:id="191" w:name="_Toc426469892"/>
      <w:r>
        <w:rPr>
          <w:rFonts w:hint="eastAsia" w:ascii="宋体" w:hAnsi="宋体" w:cs="宋体"/>
          <w:b/>
          <w:color w:val="000000" w:themeColor="text1"/>
          <w:szCs w:val="22"/>
          <w:highlight w:val="none"/>
          <w14:textFill>
            <w14:solidFill>
              <w14:schemeClr w14:val="tx1"/>
            </w14:solidFill>
          </w14:textFill>
        </w:rPr>
        <w:t>3.4投标文件的编制</w:t>
      </w:r>
      <w:bookmarkEnd w:id="191"/>
    </w:p>
    <w:p w14:paraId="66AF0CAA">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3.4.1投标人可以按照第六章“投标文件的编制要求及参考格式”要求编制投标文件。需另行增加的相关内容和材料应编入投标文件相应章节，作为投标文件的组成部分。</w:t>
      </w:r>
    </w:p>
    <w:p w14:paraId="6485B49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3.4.2投标人应对招标文件中的资格要求、合同履行期限、投标有效期、技术、服务标准和要求等实质性内容作出响应，并根据评审因素提供相应的证明材料。</w:t>
      </w:r>
    </w:p>
    <w:p w14:paraId="786EE996">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3.4.3 投标文件的数量：见投标人须知前附表</w:t>
      </w:r>
    </w:p>
    <w:p w14:paraId="520417A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bookmarkStart w:id="192" w:name="_Toc426469894"/>
      <w:bookmarkStart w:id="193" w:name="_Toc367785016"/>
      <w:r>
        <w:rPr>
          <w:rFonts w:hint="eastAsia" w:ascii="宋体" w:hAnsi="宋体" w:cs="宋体"/>
          <w:color w:val="000000" w:themeColor="text1"/>
          <w:sz w:val="22"/>
          <w:szCs w:val="22"/>
          <w:highlight w:val="none"/>
          <w14:textFill>
            <w14:solidFill>
              <w14:schemeClr w14:val="tx1"/>
            </w14:solidFill>
          </w14:textFill>
        </w:rPr>
        <w:t>3.4.4投标文件的签署：见投标人须知前附表</w:t>
      </w:r>
    </w:p>
    <w:bookmarkEnd w:id="64"/>
    <w:bookmarkEnd w:id="192"/>
    <w:bookmarkEnd w:id="193"/>
    <w:p w14:paraId="020D2F2E">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bookmarkStart w:id="194" w:name="_Toc179632605"/>
      <w:bookmarkStart w:id="195" w:name="_Toc246996230"/>
      <w:bookmarkStart w:id="196" w:name="_Toc390246906"/>
      <w:bookmarkStart w:id="197" w:name="_Toc383623673"/>
      <w:bookmarkStart w:id="198" w:name="_Toc246996973"/>
      <w:bookmarkStart w:id="199" w:name="_Toc343525562"/>
      <w:bookmarkStart w:id="200" w:name="_Toc144974554"/>
      <w:bookmarkStart w:id="201" w:name="_Toc390098841"/>
      <w:bookmarkStart w:id="202" w:name="_Toc383679747"/>
      <w:bookmarkStart w:id="203" w:name="_Toc383587457"/>
      <w:bookmarkStart w:id="204" w:name="_Toc383438646"/>
      <w:bookmarkStart w:id="205" w:name="_Toc383623945"/>
      <w:bookmarkStart w:id="206" w:name="_Toc152045587"/>
      <w:bookmarkStart w:id="207" w:name="_Toc383698648"/>
      <w:bookmarkStart w:id="208" w:name="_Toc390099019"/>
      <w:bookmarkStart w:id="209" w:name="_Toc247085745"/>
      <w:bookmarkStart w:id="210" w:name="_Toc152042364"/>
      <w:bookmarkStart w:id="211" w:name="_Toc383625994"/>
      <w:r>
        <w:rPr>
          <w:rFonts w:hint="eastAsia" w:ascii="宋体" w:hAnsi="宋体" w:cs="宋体"/>
          <w:b/>
          <w:color w:val="000000" w:themeColor="text1"/>
          <w:szCs w:val="22"/>
          <w:highlight w:val="none"/>
          <w14:textFill>
            <w14:solidFill>
              <w14:schemeClr w14:val="tx1"/>
            </w14:solidFill>
          </w14:textFill>
        </w:rPr>
        <w:t>4.投标</w:t>
      </w:r>
    </w:p>
    <w:p w14:paraId="4ED79755">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4.1投标文件的上传</w:t>
      </w:r>
    </w:p>
    <w:p w14:paraId="3FD5646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投标人应充分考虑网络及系统平台可能存在的非正常情况等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p>
    <w:p w14:paraId="7878DF89">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4.2投标文件的修改与撤回</w:t>
      </w:r>
    </w:p>
    <w:p w14:paraId="5024861A">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4.2.1在投标截止时间前，投标人可以修改或撤回已递交的投标文件。具体操作方法见《江苏省政府采购管理交易系统（苏采云）投标人操作手册》。</w:t>
      </w:r>
    </w:p>
    <w:p w14:paraId="24396CB0">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4.2.2修改的投标文件应按照本招标文件规定进行编制和重新上传。</w:t>
      </w:r>
    </w:p>
    <w:p w14:paraId="4A0B5C3A">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4.3投标文件的确认</w:t>
      </w:r>
    </w:p>
    <w:p w14:paraId="30DDF111">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投标人可以通过江苏省政府采购管理交易系统（苏采云）多次上传投标文件，以招标文件规定的投标截止时间前，江苏省政府采购管理交易系统（苏采云）接受到的最后一份投标文件为准。</w:t>
      </w:r>
    </w:p>
    <w:p w14:paraId="4D75E467">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5. 开标</w:t>
      </w:r>
    </w:p>
    <w:p w14:paraId="3EC82B58">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5.1 开标时间和地点</w:t>
      </w:r>
    </w:p>
    <w:p w14:paraId="2033A656">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5.1.1开标时间和地点：见投标人须知前附表。</w:t>
      </w:r>
    </w:p>
    <w:p w14:paraId="78810323">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5.1.2开标活动在江苏政府采购“苏采云”系统“开标大厅”内公开进行，投标人应当按照《江苏省政府采购管理交易系统（苏采云）投标人操作手册》规定，参加开标活动。</w:t>
      </w:r>
    </w:p>
    <w:p w14:paraId="08624403">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5.2 不见面开标程序</w:t>
      </w:r>
    </w:p>
    <w:p w14:paraId="3CD7E8F4">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（1）系统登录。投标人应在投标截止时间前登录开标大厅。</w:t>
      </w:r>
    </w:p>
    <w:p w14:paraId="4210A584">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（2）投标人解密投标文件。按照系统内提示，在规定的时间内完成投标文件的解密。</w:t>
      </w:r>
    </w:p>
    <w:p w14:paraId="13AAA0BB">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（3）唱标。</w:t>
      </w:r>
    </w:p>
    <w:p w14:paraId="13E4EF5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（4）开标记录确认。</w:t>
      </w:r>
    </w:p>
    <w:p w14:paraId="50BF9CE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（5）开标结束。</w:t>
      </w:r>
    </w:p>
    <w:p w14:paraId="61F3F747">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5.3特殊情况的处置</w:t>
      </w:r>
    </w:p>
    <w:p w14:paraId="67624E0F">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5.3.1在投标截止时间后，开标系统出现下列情况之一时，项目未开标的，暂停开标活动；正在开标的，立即暂停开标，待系统恢复正常后再组织开标。</w:t>
      </w:r>
    </w:p>
    <w:p w14:paraId="41598B8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（1）系统服务器发生故障，无法访问或无法使用系统； </w:t>
      </w:r>
    </w:p>
    <w:p w14:paraId="234AEAC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（2）系统的软件或数据库出现错误，不能进行正常操作； </w:t>
      </w:r>
    </w:p>
    <w:p w14:paraId="0C1E80C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（3）系统发现有安全漏洞，有潜在的泄密危险； </w:t>
      </w:r>
    </w:p>
    <w:p w14:paraId="093E547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（4）其他无法保证招投标过程公平和信息安全的情形。</w:t>
      </w:r>
    </w:p>
    <w:p w14:paraId="373C1A3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5.3.2因投标人自身原因造成投标文件无法解密的，视为撤销投标文件。</w:t>
      </w:r>
    </w:p>
    <w:p w14:paraId="17C6DC3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5.3.3投标人对开标过程和开标记录有疑义的，可向采购人或者采购代理机构提出。</w:t>
      </w:r>
    </w:p>
    <w:p w14:paraId="42FC00B4">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5.3.4投标人未在开标系统中确认开标结果的，视同认可开标结果。</w:t>
      </w:r>
    </w:p>
    <w:p w14:paraId="58B3CC7C">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6. 评标</w:t>
      </w:r>
    </w:p>
    <w:p w14:paraId="04B89BC0">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6.1 评标委员会</w:t>
      </w:r>
    </w:p>
    <w:p w14:paraId="393BBB0A">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6.1.1评标由采购人依法组建的评标委员会负责。评标委员会由采购人代表，以及有关技术、经济等方面的专家组成。具体人数见投标人须知前附表。</w:t>
      </w:r>
    </w:p>
    <w:p w14:paraId="43834181">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6.1.2评标委员会成员有下列情形之一的，应当回避：</w:t>
      </w:r>
    </w:p>
    <w:p w14:paraId="1D74C7A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（1）参加采购活动前三年内,与投标人存在劳动关系,或者担任过投标人的董事、监事,或者是投标人的控股股东或实际控制人；</w:t>
      </w:r>
    </w:p>
    <w:p w14:paraId="241C510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（2）与投标人的法定代表人或者负责人有夫妻、直系血亲、三代以内旁系血亲或者近姻亲关系；</w:t>
      </w:r>
    </w:p>
    <w:p w14:paraId="6D5E0B1B">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（3）与投标人有其他可能影响政府采购活动公平、公正进行的关系；</w:t>
      </w:r>
    </w:p>
    <w:p w14:paraId="4BDCEB2A">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（4）法律、行政法规规定的其他条件。</w:t>
      </w:r>
    </w:p>
    <w:p w14:paraId="75369ADF">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6.2 评标</w:t>
      </w:r>
    </w:p>
    <w:p w14:paraId="4AE05D70">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评标活动遵循公正、客观、审慎的原则。评标委员会严格按照第三章“评标办法”规定的评标方法、评标程序和评标标准进行独立评审。第三章“评标办法”没有规定的评标标准，不得作为评标依据。</w:t>
      </w:r>
    </w:p>
    <w:p w14:paraId="1C6D786B">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7.中标</w:t>
      </w:r>
    </w:p>
    <w:p w14:paraId="2EB15579">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7.1确定中标人</w:t>
      </w:r>
    </w:p>
    <w:p w14:paraId="6428CA10">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7.1.1自收到评标报告之日起５个工作日内，在评标报告确定的中标候选人名单中按顺序确定中标人。</w:t>
      </w:r>
    </w:p>
    <w:p w14:paraId="0BDCB01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7.1.2排名第一的中标候选人出现下列情形之一的，除合格投标人的数量不符合法定的要求外，采购人将按照评标委员会提出的中标候选人名单排序依次确定其他中标候选人为中标人。</w:t>
      </w:r>
    </w:p>
    <w:p w14:paraId="2C5D1C6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（1）因不可抗力或者自身原因不能履行合同的；</w:t>
      </w:r>
    </w:p>
    <w:p w14:paraId="0B1698E5">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（2）经过财政部门处理投诉举报、监督检查，认定中标无效的；</w:t>
      </w:r>
    </w:p>
    <w:p w14:paraId="7CF452F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（3）拒绝与采购人签订合同的。</w:t>
      </w:r>
    </w:p>
    <w:p w14:paraId="4420D741">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7.2中标公告及中标通知书</w:t>
      </w:r>
    </w:p>
    <w:p w14:paraId="3AEEB18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7.2.1自中标人确定之日起2个工作日内，在投标人须知前附表规定的媒介上公告中标结果，公告期限为1个工作日。</w:t>
      </w:r>
    </w:p>
    <w:p w14:paraId="721E5F5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7.2.2在公告中标结果的同时，向中标人发出中标通知书。中标通知书对采购人和中标人具有同等法律效力。</w:t>
      </w:r>
    </w:p>
    <w:p w14:paraId="123D5744">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8.合同</w:t>
      </w:r>
    </w:p>
    <w:p w14:paraId="56499582">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8.1 履约保证金</w:t>
      </w:r>
    </w:p>
    <w:p w14:paraId="5FF972D8">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8.1.1中标人应按投标人须知前附表规定的履约保证金的形式、金额和提交时间向采购人提交履约保证金。</w:t>
      </w:r>
    </w:p>
    <w:p w14:paraId="7FB7A168">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8.1.2中标人不能按本招标文件要求提交履约保证金的，视为放弃中标，给采购人造成损失的，中标人还应当予以赔偿。</w:t>
      </w:r>
    </w:p>
    <w:p w14:paraId="42B803EC">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8.2签订合同</w:t>
      </w:r>
    </w:p>
    <w:p w14:paraId="287B595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采购人和中标人在投标人须知前附表规定的时间内，根据招标文件和中标人的投标文件订立书面合同。中标人无正当理由拒签合同的，采购人取消其中标资格；给采购人造成损失的，中标人还应当对予以赔偿。</w:t>
      </w:r>
    </w:p>
    <w:bookmarkEnd w:id="38"/>
    <w:bookmarkEnd w:id="39"/>
    <w:bookmarkEnd w:id="40"/>
    <w:bookmarkEnd w:id="41"/>
    <w:bookmarkEnd w:id="42"/>
    <w:bookmarkEnd w:id="43"/>
    <w:bookmarkEnd w:id="44"/>
    <w:bookmarkEnd w:id="45"/>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14:paraId="1F201C74">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9、需要补充的其他内容</w:t>
      </w:r>
    </w:p>
    <w:p w14:paraId="2DF0558C">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9.1质疑</w:t>
      </w:r>
    </w:p>
    <w:p w14:paraId="780EB9AB">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9.1.1供应商对招标活动事项有疑问的，可以向采购代理机构提出询问，采购代理机构将依法作出答复，但答复的内容不涉及商业秘密。</w:t>
      </w:r>
    </w:p>
    <w:p w14:paraId="67F5BED8">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9.1.2提出质疑的供应商应当是参与所质疑项目采购活动的供应商。潜在供应商已依法获取其可质疑的采购文件的，可以对该文件提出质疑。</w:t>
      </w:r>
    </w:p>
    <w:p w14:paraId="59A749B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以联合体形式参加政府采购活动的，其质疑应当由组成联合体的所有供应商共同提出。</w:t>
      </w:r>
    </w:p>
    <w:p w14:paraId="01C31AB8">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9.1.3供应商认为采购文件、采购过程和中标结果使自己的合法权益受到损害的，可以在知道或者应知其权益受到损害之日起七个工作日内，将质疑文件原件送达采购人或采购代理机构。</w:t>
      </w:r>
    </w:p>
    <w:p w14:paraId="34E4AB48">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438BC9F7">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供应商必须在法定质疑期内一次性提出针对同一采购程序环节的质疑。</w:t>
      </w:r>
    </w:p>
    <w:p w14:paraId="64CFED48">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9.1.4供应商提出质疑应当提交质疑函和必要的证明材料。质疑函应当包括下列内容：</w:t>
      </w:r>
    </w:p>
    <w:p w14:paraId="17CEDA38">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（一）供应商的姓名或者名称、地址、邮编、联系人及联系电话；</w:t>
      </w:r>
    </w:p>
    <w:p w14:paraId="759661D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（二）质疑项目的名称、编号；</w:t>
      </w:r>
    </w:p>
    <w:p w14:paraId="25358573">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（三）具体、明确的质疑事项和与质疑事项相关的请求（具体条款）；</w:t>
      </w:r>
    </w:p>
    <w:p w14:paraId="114D53B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（四）事实依据（具体条款）；</w:t>
      </w:r>
    </w:p>
    <w:p w14:paraId="5E922DA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（五）必要的法律依据（具体条款）；</w:t>
      </w:r>
    </w:p>
    <w:p w14:paraId="28EE887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（六）提出质疑的日期。</w:t>
      </w:r>
    </w:p>
    <w:p w14:paraId="61F6B996">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513AA6B4">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质疑函应当使用中文。相关当事人提供外文书证或者外国语视听资料的，应当附有中文译本，由翻译机构盖章或者翻译人员签名。</w:t>
      </w:r>
    </w:p>
    <w:p w14:paraId="521A20DB">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9.1.5质疑函应当现场提交至采购代理机构联系人处，提交时应出示有效身份证明。未按上述要求提交质疑函的，质疑不予受理。</w:t>
      </w:r>
    </w:p>
    <w:p w14:paraId="4F6B46C0">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9.1.6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618621B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9.1.7采购代理机构在收到投标人的书面质疑后将及时组织调查核实，在七个工作日内作出答复，并以书面或在网站公告形式通知质疑投标人和其他有关投标人，答复的内容不涉及商业秘密。</w:t>
      </w:r>
    </w:p>
    <w:p w14:paraId="71C968B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任何单位和个人对代理机构在招标采购活动中的违法行为，有权控告和检举。</w:t>
      </w:r>
    </w:p>
    <w:p w14:paraId="56C3F805">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9.2投诉</w:t>
      </w:r>
    </w:p>
    <w:p w14:paraId="370EBE3F">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9.2.1质疑供应商对采购代理机构的答复不满意或者采购代理机构未在规定的时间内作出答复的，可以在答复期满后十五个工作日内向同级政府采购监督管理部门投诉。</w:t>
      </w:r>
    </w:p>
    <w:p w14:paraId="4BA535FA">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9.2.2供应商投诉应当有明确的请求和必要的证明材料。供应商投诉的事项不得超出已质疑事项的范围。</w:t>
      </w:r>
    </w:p>
    <w:p w14:paraId="1C148F6A">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9.2.3投诉人对政府采购监督管理部门的投诉处理决定不服或者政府采购监督管理部门逾期未作处理的，可以依法申请行政复议或者向人民法院提起行政诉讼。</w:t>
      </w:r>
    </w:p>
    <w:p w14:paraId="5BCE95F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9.2.4投诉人有下列行为之一的，属于严重失信行为，由财政部门列入不良行为记录名单，禁止其一至三年内参加政府采购活动。</w:t>
      </w:r>
    </w:p>
    <w:p w14:paraId="1F5B46D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（1）投诉人在全国范围12个月内三次以上投诉查无实据的；</w:t>
      </w:r>
    </w:p>
    <w:p w14:paraId="0BB9B5D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（2）采用捏造事实、提供虚假材料或者以非法手段取得证明材料等方式进行虚假、恶意投诉。</w:t>
      </w:r>
    </w:p>
    <w:p w14:paraId="6E80FB9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证据来源的合法性存在明显疑问，投诉人无法证明其取得方式合法的，视为以非法手段取得证明材料。</w:t>
      </w:r>
    </w:p>
    <w:p w14:paraId="65411344">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9.3需要补充的其他内容：见投标人须知前附表。</w:t>
      </w:r>
    </w:p>
    <w:p w14:paraId="0C8D0D1F">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br w:type="page"/>
      </w:r>
    </w:p>
    <w:p w14:paraId="1A3D0394">
      <w:pPr>
        <w:pStyle w:val="18"/>
        <w:ind w:firstLine="56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第三章</w:t>
      </w:r>
      <w:r>
        <w:rPr>
          <w:color w:val="000000" w:themeColor="text1"/>
          <w:highlight w:val="none"/>
          <w14:textFill>
            <w14:solidFill>
              <w14:schemeClr w14:val="tx1"/>
            </w14:solidFill>
          </w14:textFill>
        </w:rPr>
        <w:t xml:space="preserve"> 资格审查及</w:t>
      </w:r>
      <w:r>
        <w:rPr>
          <w:rFonts w:hint="eastAsia"/>
          <w:color w:val="000000" w:themeColor="text1"/>
          <w:highlight w:val="none"/>
          <w14:textFill>
            <w14:solidFill>
              <w14:schemeClr w14:val="tx1"/>
            </w14:solidFill>
          </w14:textFill>
        </w:rPr>
        <w:t>评标办法</w:t>
      </w:r>
    </w:p>
    <w:p w14:paraId="31BF09C7">
      <w:pPr>
        <w:rPr>
          <w:color w:val="000000" w:themeColor="text1"/>
          <w:highlight w:val="none"/>
          <w14:textFill>
            <w14:solidFill>
              <w14:schemeClr w14:val="tx1"/>
            </w14:solidFill>
          </w14:textFill>
        </w:rPr>
      </w:pPr>
      <w:bookmarkStart w:id="212" w:name="_Toc246996974"/>
      <w:bookmarkStart w:id="213" w:name="_Toc246996231"/>
      <w:bookmarkStart w:id="214" w:name="_Toc152042365"/>
      <w:bookmarkStart w:id="215" w:name="_Toc383438647"/>
      <w:bookmarkStart w:id="216" w:name="_Toc343525563"/>
      <w:bookmarkStart w:id="217" w:name="_Toc144974555"/>
      <w:bookmarkStart w:id="218" w:name="_Toc247085746"/>
      <w:bookmarkStart w:id="219" w:name="_Toc426469920"/>
      <w:bookmarkStart w:id="220" w:name="_Toc152045588"/>
      <w:bookmarkStart w:id="221" w:name="_Toc179632606"/>
      <w:r>
        <w:rPr>
          <w:rFonts w:hint="eastAsia"/>
          <w:color w:val="000000" w:themeColor="text1"/>
          <w:highlight w:val="none"/>
          <w14:textFill>
            <w14:solidFill>
              <w14:schemeClr w14:val="tx1"/>
            </w14:solidFill>
          </w14:textFill>
        </w:rPr>
        <w:t>资格审查和评标办法前附表</w:t>
      </w:r>
      <w:bookmarkEnd w:id="212"/>
      <w:bookmarkEnd w:id="213"/>
      <w:bookmarkEnd w:id="214"/>
      <w:bookmarkEnd w:id="215"/>
      <w:bookmarkEnd w:id="216"/>
      <w:bookmarkEnd w:id="217"/>
      <w:bookmarkEnd w:id="218"/>
      <w:bookmarkEnd w:id="219"/>
      <w:bookmarkEnd w:id="220"/>
      <w:bookmarkEnd w:id="221"/>
      <w:bookmarkStart w:id="222" w:name="_Toc144974556"/>
      <w:bookmarkStart w:id="223" w:name="_Toc179632607"/>
      <w:bookmarkStart w:id="224" w:name="_Toc152045589"/>
      <w:bookmarkStart w:id="225" w:name="_Toc246996232"/>
      <w:bookmarkStart w:id="226" w:name="_Toc247085747"/>
      <w:bookmarkStart w:id="227" w:name="_Toc246996975"/>
      <w:bookmarkStart w:id="228" w:name="_Toc343525564"/>
      <w:bookmarkStart w:id="229" w:name="_Toc152042366"/>
    </w:p>
    <w:tbl>
      <w:tblPr>
        <w:tblStyle w:val="22"/>
        <w:tblW w:w="5000" w:type="pct"/>
        <w:jc w:val="center"/>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1032"/>
        <w:gridCol w:w="237"/>
        <w:gridCol w:w="690"/>
        <w:gridCol w:w="307"/>
        <w:gridCol w:w="856"/>
        <w:gridCol w:w="1292"/>
        <w:gridCol w:w="4787"/>
      </w:tblGrid>
      <w:tr w14:paraId="18E2C7A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84" w:hRule="atLeast"/>
          <w:jc w:val="center"/>
        </w:trPr>
        <w:tc>
          <w:tcPr>
            <w:tcW w:w="1065" w:type="pct"/>
            <w:gridSpan w:val="3"/>
            <w:tcBorders>
              <w:top w:val="outset" w:color="auto" w:sz="6" w:space="0"/>
              <w:left w:val="outset" w:color="auto" w:sz="6" w:space="0"/>
              <w:bottom w:val="outset" w:color="auto" w:sz="6" w:space="0"/>
              <w:right w:val="outset" w:color="auto" w:sz="6" w:space="0"/>
            </w:tcBorders>
            <w:vAlign w:val="center"/>
          </w:tcPr>
          <w:p w14:paraId="08E6D5F0">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条款号</w:t>
            </w:r>
          </w:p>
        </w:tc>
        <w:tc>
          <w:tcPr>
            <w:tcW w:w="1334" w:type="pct"/>
            <w:gridSpan w:val="3"/>
            <w:tcBorders>
              <w:top w:val="outset" w:color="auto" w:sz="6" w:space="0"/>
              <w:left w:val="outset" w:color="auto" w:sz="6" w:space="0"/>
              <w:bottom w:val="outset" w:color="auto" w:sz="6" w:space="0"/>
              <w:right w:val="outset" w:color="auto" w:sz="6" w:space="0"/>
            </w:tcBorders>
            <w:vAlign w:val="center"/>
          </w:tcPr>
          <w:p w14:paraId="1AAA05F9">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评审因素</w:t>
            </w:r>
          </w:p>
        </w:tc>
        <w:tc>
          <w:tcPr>
            <w:tcW w:w="2601" w:type="pct"/>
            <w:tcBorders>
              <w:top w:val="outset" w:color="auto" w:sz="6" w:space="0"/>
              <w:left w:val="outset" w:color="auto" w:sz="6" w:space="0"/>
              <w:bottom w:val="outset" w:color="auto" w:sz="6" w:space="0"/>
              <w:right w:val="outset" w:color="auto" w:sz="6" w:space="0"/>
            </w:tcBorders>
            <w:vAlign w:val="center"/>
          </w:tcPr>
          <w:p w14:paraId="07B3D443">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评审标准</w:t>
            </w:r>
          </w:p>
        </w:tc>
      </w:tr>
      <w:tr w14:paraId="49D5423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30" w:hRule="atLeast"/>
          <w:jc w:val="center"/>
        </w:trPr>
        <w:tc>
          <w:tcPr>
            <w:tcW w:w="561" w:type="pct"/>
            <w:vMerge w:val="restart"/>
            <w:tcBorders>
              <w:top w:val="outset" w:color="auto" w:sz="6" w:space="0"/>
              <w:left w:val="outset" w:color="auto" w:sz="6" w:space="0"/>
              <w:right w:val="outset" w:color="auto" w:sz="6" w:space="0"/>
            </w:tcBorders>
            <w:vAlign w:val="center"/>
          </w:tcPr>
          <w:p w14:paraId="4F127682">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t>1.2</w:t>
            </w:r>
          </w:p>
        </w:tc>
        <w:tc>
          <w:tcPr>
            <w:tcW w:w="504" w:type="pct"/>
            <w:gridSpan w:val="2"/>
            <w:vMerge w:val="restart"/>
            <w:tcBorders>
              <w:top w:val="outset" w:color="auto" w:sz="6" w:space="0"/>
              <w:left w:val="outset" w:color="auto" w:sz="6" w:space="0"/>
              <w:right w:val="outset" w:color="auto" w:sz="6" w:space="0"/>
            </w:tcBorders>
            <w:vAlign w:val="center"/>
          </w:tcPr>
          <w:p w14:paraId="12594A72">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资格审查</w:t>
            </w:r>
          </w:p>
        </w:tc>
        <w:tc>
          <w:tcPr>
            <w:tcW w:w="1334" w:type="pct"/>
            <w:gridSpan w:val="3"/>
            <w:tcBorders>
              <w:top w:val="outset" w:color="auto" w:sz="6" w:space="0"/>
              <w:left w:val="outset" w:color="auto" w:sz="6" w:space="0"/>
              <w:bottom w:val="outset" w:color="auto" w:sz="6" w:space="0"/>
              <w:right w:val="outset" w:color="auto" w:sz="6" w:space="0"/>
            </w:tcBorders>
            <w:vAlign w:val="center"/>
          </w:tcPr>
          <w:p w14:paraId="0689BC80">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基本资格条件的承诺</w:t>
            </w:r>
          </w:p>
        </w:tc>
        <w:tc>
          <w:tcPr>
            <w:tcW w:w="2601" w:type="pct"/>
            <w:tcBorders>
              <w:top w:val="outset" w:color="auto" w:sz="6" w:space="0"/>
              <w:left w:val="outset" w:color="auto" w:sz="6" w:space="0"/>
              <w:bottom w:val="outset" w:color="auto" w:sz="6" w:space="0"/>
              <w:right w:val="outset" w:color="auto" w:sz="6" w:space="0"/>
            </w:tcBorders>
            <w:vAlign w:val="center"/>
          </w:tcPr>
          <w:p w14:paraId="6D11401B">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根据投标人提供的承诺函，内容完整且</w:t>
            </w:r>
            <w:r>
              <w:rPr>
                <w:rFonts w:hint="eastAsia" w:ascii="宋体" w:hAnsi="宋体" w:cs="宋体"/>
                <w:color w:val="000000" w:themeColor="text1"/>
                <w:sz w:val="22"/>
                <w:szCs w:val="22"/>
                <w:highlight w:val="none"/>
                <w:lang w:val="en-US" w:eastAsia="zh-CN"/>
                <w14:textFill>
                  <w14:solidFill>
                    <w14:schemeClr w14:val="tx1"/>
                  </w14:solidFill>
                </w14:textFill>
              </w:rPr>
              <w:t>签章完备</w:t>
            </w:r>
            <w:r>
              <w:rPr>
                <w:rFonts w:hint="eastAsia" w:ascii="宋体" w:hAnsi="宋体" w:cs="宋体"/>
                <w:color w:val="000000" w:themeColor="text1"/>
                <w:sz w:val="22"/>
                <w:szCs w:val="22"/>
                <w:highlight w:val="none"/>
                <w14:textFill>
                  <w14:solidFill>
                    <w14:schemeClr w14:val="tx1"/>
                  </w14:solidFill>
                </w14:textFill>
              </w:rPr>
              <w:t>。（内容及格式参照第六章）</w:t>
            </w:r>
          </w:p>
        </w:tc>
      </w:tr>
      <w:tr w14:paraId="3C5B4B0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87" w:hRule="atLeast"/>
          <w:jc w:val="center"/>
        </w:trPr>
        <w:tc>
          <w:tcPr>
            <w:tcW w:w="561" w:type="pct"/>
            <w:vMerge w:val="continue"/>
            <w:tcBorders>
              <w:left w:val="outset" w:color="auto" w:sz="6" w:space="0"/>
              <w:right w:val="outset" w:color="auto" w:sz="6" w:space="0"/>
            </w:tcBorders>
            <w:vAlign w:val="center"/>
          </w:tcPr>
          <w:p w14:paraId="155951B5">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rPr>
                <w:rFonts w:hint="eastAsia" w:ascii="宋体" w:hAnsi="宋体" w:cs="宋体"/>
                <w:color w:val="000000" w:themeColor="text1"/>
                <w:sz w:val="22"/>
                <w:szCs w:val="22"/>
                <w:highlight w:val="none"/>
                <w14:textFill>
                  <w14:solidFill>
                    <w14:schemeClr w14:val="tx1"/>
                  </w14:solidFill>
                </w14:textFill>
              </w:rPr>
            </w:pPr>
          </w:p>
        </w:tc>
        <w:tc>
          <w:tcPr>
            <w:tcW w:w="504" w:type="pct"/>
            <w:gridSpan w:val="2"/>
            <w:vMerge w:val="continue"/>
            <w:tcBorders>
              <w:left w:val="outset" w:color="auto" w:sz="6" w:space="0"/>
              <w:right w:val="outset" w:color="auto" w:sz="6" w:space="0"/>
            </w:tcBorders>
            <w:vAlign w:val="center"/>
          </w:tcPr>
          <w:p w14:paraId="1EA0428E">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rPr>
                <w:rFonts w:hint="eastAsia" w:ascii="宋体" w:hAnsi="宋体" w:cs="宋体"/>
                <w:color w:val="000000" w:themeColor="text1"/>
                <w:sz w:val="22"/>
                <w:szCs w:val="22"/>
                <w:highlight w:val="none"/>
                <w14:textFill>
                  <w14:solidFill>
                    <w14:schemeClr w14:val="tx1"/>
                  </w14:solidFill>
                </w14:textFill>
              </w:rPr>
            </w:pPr>
          </w:p>
        </w:tc>
        <w:tc>
          <w:tcPr>
            <w:tcW w:w="1334" w:type="pct"/>
            <w:gridSpan w:val="3"/>
            <w:tcBorders>
              <w:top w:val="outset" w:color="auto" w:sz="6" w:space="0"/>
              <w:left w:val="outset" w:color="auto" w:sz="6" w:space="0"/>
              <w:bottom w:val="outset" w:color="auto" w:sz="6" w:space="0"/>
              <w:right w:val="outset" w:color="auto" w:sz="6" w:space="0"/>
            </w:tcBorders>
            <w:vAlign w:val="center"/>
          </w:tcPr>
          <w:p w14:paraId="0526051A">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采购人根据本项目特点，要求投标人具备的条件</w:t>
            </w:r>
          </w:p>
        </w:tc>
        <w:tc>
          <w:tcPr>
            <w:tcW w:w="2601" w:type="pct"/>
            <w:tcBorders>
              <w:top w:val="outset" w:color="auto" w:sz="6" w:space="0"/>
              <w:left w:val="outset" w:color="auto" w:sz="6" w:space="0"/>
              <w:bottom w:val="outset" w:color="auto" w:sz="6" w:space="0"/>
              <w:right w:val="outset" w:color="auto" w:sz="6" w:space="0"/>
            </w:tcBorders>
            <w:vAlign w:val="center"/>
          </w:tcPr>
          <w:p w14:paraId="1E9E5CD0">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详见招标公告</w:t>
            </w:r>
          </w:p>
        </w:tc>
      </w:tr>
      <w:tr w14:paraId="4E5ED9B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08" w:hRule="atLeast"/>
          <w:jc w:val="center"/>
        </w:trPr>
        <w:tc>
          <w:tcPr>
            <w:tcW w:w="5000" w:type="pct"/>
            <w:gridSpan w:val="7"/>
            <w:tcBorders>
              <w:top w:val="outset" w:color="auto" w:sz="6" w:space="0"/>
              <w:left w:val="outset" w:color="auto" w:sz="6" w:space="0"/>
              <w:bottom w:val="outset" w:color="auto" w:sz="6" w:space="0"/>
              <w:right w:val="outset" w:color="auto" w:sz="6" w:space="0"/>
            </w:tcBorders>
            <w:vAlign w:val="center"/>
          </w:tcPr>
          <w:p w14:paraId="155A904F">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both"/>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1.2项评审内容由采购人负责，投标文件不符合1.2项评审标准的，作无效标处理。</w:t>
            </w:r>
          </w:p>
        </w:tc>
      </w:tr>
      <w:tr w14:paraId="189B2AF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561" w:type="pct"/>
            <w:vMerge w:val="restart"/>
            <w:tcBorders>
              <w:top w:val="outset" w:color="auto" w:sz="6" w:space="0"/>
              <w:left w:val="outset" w:color="auto" w:sz="6" w:space="0"/>
              <w:bottom w:val="outset" w:color="auto" w:sz="6" w:space="0"/>
              <w:right w:val="outset" w:color="auto" w:sz="6" w:space="0"/>
            </w:tcBorders>
            <w:vAlign w:val="center"/>
          </w:tcPr>
          <w:p w14:paraId="27D382CC">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2.2.2</w:t>
            </w:r>
          </w:p>
        </w:tc>
        <w:tc>
          <w:tcPr>
            <w:tcW w:w="504" w:type="pct"/>
            <w:gridSpan w:val="2"/>
            <w:vMerge w:val="restart"/>
            <w:tcBorders>
              <w:top w:val="outset" w:color="auto" w:sz="6" w:space="0"/>
              <w:left w:val="outset" w:color="auto" w:sz="6" w:space="0"/>
              <w:bottom w:val="outset" w:color="auto" w:sz="6" w:space="0"/>
              <w:right w:val="outset" w:color="auto" w:sz="6" w:space="0"/>
            </w:tcBorders>
            <w:vAlign w:val="center"/>
          </w:tcPr>
          <w:p w14:paraId="784D97DC">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符合性评审</w:t>
            </w:r>
          </w:p>
        </w:tc>
        <w:tc>
          <w:tcPr>
            <w:tcW w:w="1334" w:type="pct"/>
            <w:gridSpan w:val="3"/>
            <w:tcBorders>
              <w:top w:val="outset" w:color="auto" w:sz="6" w:space="0"/>
              <w:left w:val="outset" w:color="auto" w:sz="6" w:space="0"/>
              <w:bottom w:val="outset" w:color="auto" w:sz="6" w:space="0"/>
              <w:right w:val="outset" w:color="auto" w:sz="6" w:space="0"/>
            </w:tcBorders>
            <w:vAlign w:val="center"/>
          </w:tcPr>
          <w:p w14:paraId="53C7C543">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投标文件的签署</w:t>
            </w:r>
          </w:p>
        </w:tc>
        <w:tc>
          <w:tcPr>
            <w:tcW w:w="2601" w:type="pct"/>
            <w:tcBorders>
              <w:top w:val="outset" w:color="auto" w:sz="6" w:space="0"/>
              <w:left w:val="outset" w:color="auto" w:sz="6" w:space="0"/>
              <w:bottom w:val="outset" w:color="auto" w:sz="6" w:space="0"/>
              <w:right w:val="outset" w:color="auto" w:sz="6" w:space="0"/>
            </w:tcBorders>
            <w:vAlign w:val="center"/>
          </w:tcPr>
          <w:p w14:paraId="31E77C60">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符合第二章第3.4.4项规定</w:t>
            </w:r>
          </w:p>
        </w:tc>
      </w:tr>
      <w:tr w14:paraId="4B50E89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561" w:type="pct"/>
            <w:vMerge w:val="continue"/>
            <w:tcBorders>
              <w:top w:val="outset" w:color="auto" w:sz="6" w:space="0"/>
              <w:left w:val="outset" w:color="auto" w:sz="6" w:space="0"/>
              <w:bottom w:val="outset" w:color="auto" w:sz="6" w:space="0"/>
              <w:right w:val="outset" w:color="auto" w:sz="6" w:space="0"/>
            </w:tcBorders>
            <w:vAlign w:val="center"/>
          </w:tcPr>
          <w:p w14:paraId="13CC397F">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p>
        </w:tc>
        <w:tc>
          <w:tcPr>
            <w:tcW w:w="504" w:type="pct"/>
            <w:gridSpan w:val="2"/>
            <w:vMerge w:val="continue"/>
            <w:tcBorders>
              <w:top w:val="outset" w:color="auto" w:sz="6" w:space="0"/>
              <w:left w:val="outset" w:color="auto" w:sz="6" w:space="0"/>
              <w:bottom w:val="outset" w:color="auto" w:sz="6" w:space="0"/>
              <w:right w:val="outset" w:color="auto" w:sz="6" w:space="0"/>
            </w:tcBorders>
            <w:vAlign w:val="center"/>
          </w:tcPr>
          <w:p w14:paraId="1CC688F7">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p>
        </w:tc>
        <w:tc>
          <w:tcPr>
            <w:tcW w:w="1334" w:type="pct"/>
            <w:gridSpan w:val="3"/>
            <w:tcBorders>
              <w:top w:val="outset" w:color="auto" w:sz="6" w:space="0"/>
              <w:left w:val="outset" w:color="auto" w:sz="6" w:space="0"/>
              <w:bottom w:val="outset" w:color="auto" w:sz="6" w:space="0"/>
              <w:right w:val="outset" w:color="auto" w:sz="6" w:space="0"/>
            </w:tcBorders>
            <w:vAlign w:val="center"/>
          </w:tcPr>
          <w:p w14:paraId="07813EAE">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报价</w:t>
            </w:r>
          </w:p>
        </w:tc>
        <w:tc>
          <w:tcPr>
            <w:tcW w:w="2601" w:type="pct"/>
            <w:tcBorders>
              <w:top w:val="outset" w:color="auto" w:sz="6" w:space="0"/>
              <w:left w:val="outset" w:color="auto" w:sz="6" w:space="0"/>
              <w:bottom w:val="outset" w:color="auto" w:sz="6" w:space="0"/>
              <w:right w:val="outset" w:color="auto" w:sz="6" w:space="0"/>
            </w:tcBorders>
            <w:vAlign w:val="center"/>
          </w:tcPr>
          <w:p w14:paraId="044E4F9D">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有且只有一个有效报价；未超过最高限价；</w:t>
            </w:r>
          </w:p>
        </w:tc>
      </w:tr>
      <w:tr w14:paraId="7BA7355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561" w:type="pct"/>
            <w:vMerge w:val="continue"/>
            <w:tcBorders>
              <w:top w:val="outset" w:color="auto" w:sz="6" w:space="0"/>
              <w:left w:val="outset" w:color="auto" w:sz="6" w:space="0"/>
              <w:bottom w:val="outset" w:color="auto" w:sz="6" w:space="0"/>
              <w:right w:val="outset" w:color="auto" w:sz="6" w:space="0"/>
            </w:tcBorders>
            <w:vAlign w:val="center"/>
          </w:tcPr>
          <w:p w14:paraId="79F6D4CB">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p>
        </w:tc>
        <w:tc>
          <w:tcPr>
            <w:tcW w:w="504" w:type="pct"/>
            <w:gridSpan w:val="2"/>
            <w:vMerge w:val="continue"/>
            <w:tcBorders>
              <w:top w:val="outset" w:color="auto" w:sz="6" w:space="0"/>
              <w:left w:val="outset" w:color="auto" w:sz="6" w:space="0"/>
              <w:bottom w:val="outset" w:color="auto" w:sz="6" w:space="0"/>
              <w:right w:val="outset" w:color="auto" w:sz="6" w:space="0"/>
            </w:tcBorders>
            <w:vAlign w:val="center"/>
          </w:tcPr>
          <w:p w14:paraId="0D4E72F3">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p>
        </w:tc>
        <w:tc>
          <w:tcPr>
            <w:tcW w:w="1334" w:type="pct"/>
            <w:gridSpan w:val="3"/>
            <w:tcBorders>
              <w:top w:val="outset" w:color="auto" w:sz="6" w:space="0"/>
              <w:left w:val="outset" w:color="auto" w:sz="6" w:space="0"/>
              <w:bottom w:val="outset" w:color="auto" w:sz="6" w:space="0"/>
              <w:right w:val="outset" w:color="auto" w:sz="6" w:space="0"/>
            </w:tcBorders>
            <w:vAlign w:val="center"/>
          </w:tcPr>
          <w:p w14:paraId="159C89DB">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合同履行期限</w:t>
            </w:r>
          </w:p>
        </w:tc>
        <w:tc>
          <w:tcPr>
            <w:tcW w:w="2601" w:type="pct"/>
            <w:tcBorders>
              <w:top w:val="outset" w:color="auto" w:sz="6" w:space="0"/>
              <w:left w:val="outset" w:color="auto" w:sz="6" w:space="0"/>
              <w:bottom w:val="outset" w:color="auto" w:sz="6" w:space="0"/>
              <w:right w:val="outset" w:color="auto" w:sz="6" w:space="0"/>
            </w:tcBorders>
            <w:vAlign w:val="center"/>
          </w:tcPr>
          <w:p w14:paraId="3161452A">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符合第二章第1.3.2项规定</w:t>
            </w:r>
          </w:p>
        </w:tc>
      </w:tr>
      <w:tr w14:paraId="6CE2C91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10" w:hRule="atLeast"/>
          <w:jc w:val="center"/>
        </w:trPr>
        <w:tc>
          <w:tcPr>
            <w:tcW w:w="561" w:type="pct"/>
            <w:vMerge w:val="continue"/>
            <w:tcBorders>
              <w:top w:val="outset" w:color="auto" w:sz="6" w:space="0"/>
              <w:left w:val="outset" w:color="auto" w:sz="6" w:space="0"/>
              <w:bottom w:val="outset" w:color="auto" w:sz="6" w:space="0"/>
              <w:right w:val="outset" w:color="auto" w:sz="6" w:space="0"/>
            </w:tcBorders>
            <w:vAlign w:val="center"/>
          </w:tcPr>
          <w:p w14:paraId="58B6700C">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p>
        </w:tc>
        <w:tc>
          <w:tcPr>
            <w:tcW w:w="504" w:type="pct"/>
            <w:gridSpan w:val="2"/>
            <w:vMerge w:val="continue"/>
            <w:tcBorders>
              <w:top w:val="outset" w:color="auto" w:sz="6" w:space="0"/>
              <w:left w:val="outset" w:color="auto" w:sz="6" w:space="0"/>
              <w:bottom w:val="outset" w:color="auto" w:sz="6" w:space="0"/>
              <w:right w:val="outset" w:color="auto" w:sz="6" w:space="0"/>
            </w:tcBorders>
            <w:vAlign w:val="center"/>
          </w:tcPr>
          <w:p w14:paraId="69F55898">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p>
        </w:tc>
        <w:tc>
          <w:tcPr>
            <w:tcW w:w="1334" w:type="pct"/>
            <w:gridSpan w:val="3"/>
            <w:tcBorders>
              <w:top w:val="outset" w:color="auto" w:sz="6" w:space="0"/>
              <w:left w:val="outset" w:color="auto" w:sz="6" w:space="0"/>
              <w:bottom w:val="outset" w:color="auto" w:sz="6" w:space="0"/>
              <w:right w:val="outset" w:color="auto" w:sz="6" w:space="0"/>
            </w:tcBorders>
            <w:vAlign w:val="center"/>
          </w:tcPr>
          <w:p w14:paraId="0454B011">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投标有效期</w:t>
            </w:r>
          </w:p>
        </w:tc>
        <w:tc>
          <w:tcPr>
            <w:tcW w:w="2601" w:type="pct"/>
            <w:tcBorders>
              <w:top w:val="outset" w:color="auto" w:sz="6" w:space="0"/>
              <w:left w:val="outset" w:color="auto" w:sz="6" w:space="0"/>
              <w:bottom w:val="outset" w:color="auto" w:sz="6" w:space="0"/>
              <w:right w:val="outset" w:color="auto" w:sz="6" w:space="0"/>
            </w:tcBorders>
            <w:vAlign w:val="center"/>
          </w:tcPr>
          <w:p w14:paraId="3FF31E6B">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符合第二章第3.3.1项规定</w:t>
            </w:r>
          </w:p>
        </w:tc>
      </w:tr>
      <w:tr w14:paraId="45B50C3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46" w:hRule="atLeast"/>
          <w:jc w:val="center"/>
        </w:trPr>
        <w:tc>
          <w:tcPr>
            <w:tcW w:w="561" w:type="pct"/>
            <w:vMerge w:val="continue"/>
            <w:tcBorders>
              <w:top w:val="outset" w:color="auto" w:sz="6" w:space="0"/>
              <w:left w:val="outset" w:color="auto" w:sz="6" w:space="0"/>
              <w:bottom w:val="outset" w:color="auto" w:sz="6" w:space="0"/>
              <w:right w:val="outset" w:color="auto" w:sz="6" w:space="0"/>
            </w:tcBorders>
            <w:vAlign w:val="center"/>
          </w:tcPr>
          <w:p w14:paraId="53491F24">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p>
        </w:tc>
        <w:tc>
          <w:tcPr>
            <w:tcW w:w="504" w:type="pct"/>
            <w:gridSpan w:val="2"/>
            <w:vMerge w:val="continue"/>
            <w:tcBorders>
              <w:top w:val="outset" w:color="auto" w:sz="6" w:space="0"/>
              <w:left w:val="outset" w:color="auto" w:sz="6" w:space="0"/>
              <w:bottom w:val="outset" w:color="auto" w:sz="6" w:space="0"/>
              <w:right w:val="outset" w:color="auto" w:sz="6" w:space="0"/>
            </w:tcBorders>
            <w:vAlign w:val="center"/>
          </w:tcPr>
          <w:p w14:paraId="373C934D">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p>
        </w:tc>
        <w:tc>
          <w:tcPr>
            <w:tcW w:w="1334" w:type="pct"/>
            <w:gridSpan w:val="3"/>
            <w:tcBorders>
              <w:top w:val="outset" w:color="auto" w:sz="6" w:space="0"/>
              <w:left w:val="outset" w:color="auto" w:sz="6" w:space="0"/>
              <w:bottom w:val="outset" w:color="auto" w:sz="6" w:space="0"/>
              <w:right w:val="outset" w:color="auto" w:sz="6" w:space="0"/>
            </w:tcBorders>
            <w:vAlign w:val="center"/>
          </w:tcPr>
          <w:p w14:paraId="29EBC80A">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偏离</w:t>
            </w:r>
          </w:p>
        </w:tc>
        <w:tc>
          <w:tcPr>
            <w:tcW w:w="2601" w:type="pct"/>
            <w:tcBorders>
              <w:top w:val="outset" w:color="auto" w:sz="6" w:space="0"/>
              <w:left w:val="outset" w:color="auto" w:sz="6" w:space="0"/>
              <w:bottom w:val="outset" w:color="auto" w:sz="6" w:space="0"/>
              <w:right w:val="outset" w:color="auto" w:sz="6" w:space="0"/>
            </w:tcBorders>
            <w:vAlign w:val="center"/>
          </w:tcPr>
          <w:p w14:paraId="55660405">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符合第二章“投标人须知”第1.8项规定</w:t>
            </w:r>
          </w:p>
        </w:tc>
      </w:tr>
      <w:tr w14:paraId="052F71D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78" w:hRule="atLeast"/>
          <w:jc w:val="center"/>
        </w:trPr>
        <w:tc>
          <w:tcPr>
            <w:tcW w:w="5000" w:type="pct"/>
            <w:gridSpan w:val="7"/>
            <w:tcBorders>
              <w:top w:val="outset" w:color="auto" w:sz="6" w:space="0"/>
              <w:left w:val="outset" w:color="auto" w:sz="6" w:space="0"/>
              <w:bottom w:val="outset" w:color="auto" w:sz="6" w:space="0"/>
              <w:right w:val="outset" w:color="auto" w:sz="6" w:space="0"/>
            </w:tcBorders>
            <w:vAlign w:val="center"/>
          </w:tcPr>
          <w:p w14:paraId="4DA31A29">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2.2.2项评审内容由评标委员会负责，投标文件不符合2.2.2项评审标准的，作无效标处理。</w:t>
            </w:r>
          </w:p>
        </w:tc>
      </w:tr>
      <w:tr w14:paraId="2CB310D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276" w:hRule="atLeast"/>
          <w:jc w:val="center"/>
        </w:trPr>
        <w:tc>
          <w:tcPr>
            <w:tcW w:w="5000" w:type="pct"/>
            <w:gridSpan w:val="7"/>
            <w:tcBorders>
              <w:top w:val="outset" w:color="auto" w:sz="6" w:space="0"/>
              <w:left w:val="outset" w:color="auto" w:sz="6" w:space="0"/>
              <w:bottom w:val="outset" w:color="auto" w:sz="6" w:space="0"/>
              <w:right w:val="outset" w:color="auto" w:sz="6" w:space="0"/>
            </w:tcBorders>
            <w:vAlign w:val="center"/>
          </w:tcPr>
          <w:p w14:paraId="082FCC08">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2.3详细评审</w:t>
            </w:r>
          </w:p>
        </w:tc>
      </w:tr>
      <w:tr w14:paraId="2719465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276" w:hRule="atLeast"/>
          <w:jc w:val="center"/>
        </w:trPr>
        <w:tc>
          <w:tcPr>
            <w:tcW w:w="1232" w:type="pct"/>
            <w:gridSpan w:val="4"/>
            <w:tcBorders>
              <w:top w:val="outset" w:color="auto" w:sz="6" w:space="0"/>
              <w:left w:val="outset" w:color="auto" w:sz="6" w:space="0"/>
              <w:bottom w:val="outset" w:color="auto" w:sz="6" w:space="0"/>
              <w:right w:val="outset" w:color="auto" w:sz="6" w:space="0"/>
            </w:tcBorders>
            <w:vAlign w:val="center"/>
          </w:tcPr>
          <w:p w14:paraId="6C9A0250">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分值构成（总分100分）</w:t>
            </w:r>
          </w:p>
        </w:tc>
        <w:tc>
          <w:tcPr>
            <w:tcW w:w="3768" w:type="pct"/>
            <w:gridSpan w:val="3"/>
            <w:tcBorders>
              <w:top w:val="outset" w:color="auto" w:sz="6" w:space="0"/>
              <w:left w:val="outset" w:color="auto" w:sz="6" w:space="0"/>
              <w:bottom w:val="outset" w:color="auto" w:sz="6" w:space="0"/>
              <w:right w:val="outset" w:color="auto" w:sz="6" w:space="0"/>
            </w:tcBorders>
            <w:vAlign w:val="center"/>
          </w:tcPr>
          <w:p w14:paraId="6B579AB7">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（1）投标报价： 25 分</w:t>
            </w:r>
          </w:p>
          <w:p w14:paraId="1AD74ECD">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（2）商务部分： 40分</w:t>
            </w:r>
          </w:p>
          <w:p w14:paraId="50F6CCBD">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（3）技术部分： 35 分</w:t>
            </w:r>
          </w:p>
        </w:tc>
      </w:tr>
      <w:tr w14:paraId="346C7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690" w:type="pct"/>
            <w:gridSpan w:val="2"/>
            <w:vAlign w:val="center"/>
          </w:tcPr>
          <w:p w14:paraId="0FABCBED">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rPr>
                <w:rFonts w:hint="eastAsia" w:ascii="宋体" w:hAnsi="宋体" w:cs="宋体"/>
                <w:b/>
                <w:bCs/>
                <w:color w:val="000000" w:themeColor="text1"/>
                <w:sz w:val="22"/>
                <w:szCs w:val="22"/>
                <w:highlight w:val="none"/>
                <w14:textFill>
                  <w14:solidFill>
                    <w14:schemeClr w14:val="tx1"/>
                  </w14:solidFill>
                </w14:textFill>
              </w:rPr>
            </w:pPr>
            <w:bookmarkStart w:id="230" w:name="OLE_LINK1"/>
            <w:bookmarkStart w:id="231" w:name="_Toc426469921"/>
            <w:r>
              <w:rPr>
                <w:rFonts w:hint="eastAsia" w:ascii="宋体" w:hAnsi="宋体" w:cs="宋体"/>
                <w:b/>
                <w:bCs/>
                <w:color w:val="000000" w:themeColor="text1"/>
                <w:sz w:val="22"/>
                <w:szCs w:val="22"/>
                <w:highlight w:val="none"/>
                <w14:textFill>
                  <w14:solidFill>
                    <w14:schemeClr w14:val="tx1"/>
                  </w14:solidFill>
                </w14:textFill>
              </w:rPr>
              <w:t>项目</w:t>
            </w:r>
          </w:p>
        </w:tc>
        <w:tc>
          <w:tcPr>
            <w:tcW w:w="542" w:type="pct"/>
            <w:gridSpan w:val="2"/>
            <w:vAlign w:val="center"/>
          </w:tcPr>
          <w:p w14:paraId="4CBAFA8B">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内容</w:t>
            </w:r>
          </w:p>
        </w:tc>
        <w:tc>
          <w:tcPr>
            <w:tcW w:w="465" w:type="pct"/>
            <w:vAlign w:val="center"/>
          </w:tcPr>
          <w:p w14:paraId="3C2A9038">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分值</w:t>
            </w:r>
          </w:p>
        </w:tc>
        <w:tc>
          <w:tcPr>
            <w:tcW w:w="3303" w:type="pct"/>
            <w:gridSpan w:val="2"/>
            <w:vAlign w:val="center"/>
          </w:tcPr>
          <w:p w14:paraId="47EB997F">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说明</w:t>
            </w:r>
          </w:p>
        </w:tc>
      </w:tr>
      <w:tr w14:paraId="0E315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jc w:val="center"/>
        </w:trPr>
        <w:tc>
          <w:tcPr>
            <w:tcW w:w="690" w:type="pct"/>
            <w:gridSpan w:val="2"/>
            <w:vAlign w:val="center"/>
          </w:tcPr>
          <w:p w14:paraId="41595844">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投标报价（25分）</w:t>
            </w:r>
          </w:p>
        </w:tc>
        <w:tc>
          <w:tcPr>
            <w:tcW w:w="542" w:type="pct"/>
            <w:gridSpan w:val="2"/>
            <w:vAlign w:val="center"/>
          </w:tcPr>
          <w:p w14:paraId="1B9C0923">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投标价格</w:t>
            </w:r>
          </w:p>
        </w:tc>
        <w:tc>
          <w:tcPr>
            <w:tcW w:w="465" w:type="pct"/>
            <w:vAlign w:val="center"/>
          </w:tcPr>
          <w:p w14:paraId="4C1754C9">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25分</w:t>
            </w:r>
          </w:p>
        </w:tc>
        <w:tc>
          <w:tcPr>
            <w:tcW w:w="3303" w:type="pct"/>
            <w:gridSpan w:val="2"/>
            <w:vAlign w:val="center"/>
          </w:tcPr>
          <w:p w14:paraId="361C9164">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1.资格性审查和符合性审查合格且投标价格最低为评标基准价，其价格分为25分。其他投标人的价格分按照下列公式计算：投标报价得分＝（评标基准价/投标报价）×25分（小数点后保留两位）。</w:t>
            </w:r>
          </w:p>
          <w:p w14:paraId="0102722A">
            <w:pPr>
              <w:widowControl/>
              <w:adjustRightInd/>
              <w:snapToGrid/>
              <w:spacing w:line="300" w:lineRule="exact"/>
              <w:ind w:firstLine="372"/>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2.评审过程中出现下列情形之一的，评审委员会应当启动异常低价投标（响应）审查程序：</w:t>
            </w:r>
          </w:p>
          <w:p w14:paraId="55E257A6">
            <w:pPr>
              <w:widowControl/>
              <w:adjustRightInd/>
              <w:snapToGrid/>
              <w:spacing w:line="300" w:lineRule="exact"/>
              <w:ind w:firstLine="372"/>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2.1投标（响应）报价低于采购项目预算50%的，即投标（响应）报价&lt;采购项目预算×50%；</w:t>
            </w:r>
          </w:p>
          <w:p w14:paraId="67496374">
            <w:pPr>
              <w:widowControl/>
              <w:adjustRightInd/>
              <w:snapToGrid/>
              <w:spacing w:line="300" w:lineRule="exact"/>
              <w:ind w:firstLine="372"/>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2.2投标（响应）报价低于采购项目最高限价45%的，即投标（响应）报价&lt;采购项目最高限价×45%；</w:t>
            </w:r>
          </w:p>
          <w:p w14:paraId="057950E1">
            <w:pPr>
              <w:widowControl/>
              <w:adjustRightInd/>
              <w:snapToGrid/>
              <w:spacing w:line="300" w:lineRule="exact"/>
              <w:ind w:firstLine="372"/>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2.3评审委员会认定的供应商报价过低、有可能影响产品质量或者不能诚信履约的其他情形。</w:t>
            </w:r>
          </w:p>
          <w:p w14:paraId="1A208542">
            <w:pPr>
              <w:widowControl/>
              <w:adjustRightInd/>
              <w:snapToGrid/>
              <w:spacing w:line="300" w:lineRule="exact"/>
              <w:ind w:firstLine="420" w:firstLineChars="20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p w14:paraId="6CA4ED52">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color w:val="000000" w:themeColor="text1"/>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备注：根据《政府采购促进中小企业发展管理办法》规定，对小型和微型企业的服务价格给予10%的扣除，扣除后的价格参与评审。提供《中小企业声明函》（格式见附件）</w:t>
            </w:r>
          </w:p>
        </w:tc>
      </w:tr>
      <w:tr w14:paraId="72333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690" w:type="pct"/>
            <w:gridSpan w:val="2"/>
            <w:vMerge w:val="restart"/>
            <w:vAlign w:val="center"/>
          </w:tcPr>
          <w:p w14:paraId="155996EC">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技术部分(45分)</w:t>
            </w:r>
          </w:p>
        </w:tc>
        <w:tc>
          <w:tcPr>
            <w:tcW w:w="542" w:type="pct"/>
            <w:gridSpan w:val="2"/>
            <w:vAlign w:val="center"/>
          </w:tcPr>
          <w:p w14:paraId="28FFA2EB">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运行维护方案</w:t>
            </w:r>
          </w:p>
        </w:tc>
        <w:tc>
          <w:tcPr>
            <w:tcW w:w="465" w:type="pct"/>
            <w:vAlign w:val="center"/>
          </w:tcPr>
          <w:p w14:paraId="7219DA46">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10分</w:t>
            </w:r>
          </w:p>
        </w:tc>
        <w:tc>
          <w:tcPr>
            <w:tcW w:w="3303" w:type="pct"/>
            <w:gridSpan w:val="2"/>
            <w:vAlign w:val="center"/>
          </w:tcPr>
          <w:p w14:paraId="64D7A584">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根据投标人提供的本项目运维服务方案是否具有针对性、完整性、合理性、可行性进行综合评分。</w:t>
            </w:r>
          </w:p>
          <w:p w14:paraId="3FF59CFC">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1．运营维护计划详细、清晰、切合本项目服务实际需求、可实施性强；有详细、完整的工作计划、各站点运营维护方案，工作目标、工作流程、维护服务项目计划安排等内容清晰、合理、规范和科学，得10分；</w:t>
            </w:r>
          </w:p>
          <w:p w14:paraId="4C9435D4">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2．运营维护计划基本清晰，可实施性较强；各站点运营维护方案，工作目标、工作流程等内容比较具体，比较规范，方案具有可行性，能满足采购文件要求，得7分；</w:t>
            </w:r>
          </w:p>
          <w:p w14:paraId="6CE1EE63">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3．有简单的运营维护计划；各站点运营维护方案，工作目标、工作流程等内容简单描述，方案基本满足采购文件要求，得4分；</w:t>
            </w:r>
          </w:p>
          <w:p w14:paraId="32834D24">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4．方案不符合本项目运维内容，运维方案不够具体，没有可行性，或没有这方面论述，得1分。</w:t>
            </w:r>
          </w:p>
        </w:tc>
      </w:tr>
      <w:tr w14:paraId="400D3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690" w:type="pct"/>
            <w:gridSpan w:val="2"/>
            <w:vMerge w:val="continue"/>
            <w:vAlign w:val="center"/>
          </w:tcPr>
          <w:p w14:paraId="32CF7A37">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rPr>
                <w:rFonts w:hint="eastAsia" w:ascii="宋体" w:hAnsi="宋体" w:cs="宋体"/>
                <w:color w:val="000000" w:themeColor="text1"/>
                <w:sz w:val="22"/>
                <w:szCs w:val="22"/>
                <w:highlight w:val="none"/>
                <w14:textFill>
                  <w14:solidFill>
                    <w14:schemeClr w14:val="tx1"/>
                  </w14:solidFill>
                </w14:textFill>
              </w:rPr>
            </w:pPr>
          </w:p>
        </w:tc>
        <w:tc>
          <w:tcPr>
            <w:tcW w:w="542" w:type="pct"/>
            <w:gridSpan w:val="2"/>
            <w:vAlign w:val="center"/>
          </w:tcPr>
          <w:p w14:paraId="5C906339">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质控方案</w:t>
            </w:r>
          </w:p>
        </w:tc>
        <w:tc>
          <w:tcPr>
            <w:tcW w:w="465" w:type="pct"/>
            <w:vAlign w:val="center"/>
          </w:tcPr>
          <w:p w14:paraId="2A3B7A58">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10分</w:t>
            </w:r>
          </w:p>
        </w:tc>
        <w:tc>
          <w:tcPr>
            <w:tcW w:w="3303" w:type="pct"/>
            <w:gridSpan w:val="2"/>
            <w:vAlign w:val="center"/>
          </w:tcPr>
          <w:p w14:paraId="46D14661">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根据投标人提供的水自动监测站质控方案进行综合评分。质控方案中须包括标样核查、加标回收率测试及其他满足质控要求的质控措施。</w:t>
            </w:r>
          </w:p>
          <w:p w14:paraId="6585CADB">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1.符合项目需求，提出完善且合理的质控方案，能有效保障技术指导工作成果质量的，得10分；</w:t>
            </w:r>
          </w:p>
          <w:p w14:paraId="58C428AC">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2.符合项目需求，提出较为合理的质控方案，能保障技术指导工作成果质量的，得7分；</w:t>
            </w:r>
          </w:p>
          <w:p w14:paraId="785924A6">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3.基本符合项目需求，提出一般需求的质控方案，基本保障技术指导工作成果质量的，得4分；</w:t>
            </w:r>
          </w:p>
          <w:p w14:paraId="0EDFF02A">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4.偏离质控需求的,得1分。</w:t>
            </w:r>
          </w:p>
        </w:tc>
      </w:tr>
      <w:tr w14:paraId="68FF9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690" w:type="pct"/>
            <w:gridSpan w:val="2"/>
            <w:vMerge w:val="continue"/>
            <w:vAlign w:val="center"/>
          </w:tcPr>
          <w:p w14:paraId="563C6328">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rPr>
                <w:rFonts w:hint="eastAsia" w:ascii="宋体" w:hAnsi="宋体" w:cs="宋体"/>
                <w:color w:val="000000" w:themeColor="text1"/>
                <w:sz w:val="22"/>
                <w:szCs w:val="22"/>
                <w:highlight w:val="none"/>
                <w14:textFill>
                  <w14:solidFill>
                    <w14:schemeClr w14:val="tx1"/>
                  </w14:solidFill>
                </w14:textFill>
              </w:rPr>
            </w:pPr>
          </w:p>
        </w:tc>
        <w:tc>
          <w:tcPr>
            <w:tcW w:w="542" w:type="pct"/>
            <w:gridSpan w:val="2"/>
            <w:vAlign w:val="center"/>
          </w:tcPr>
          <w:p w14:paraId="65B4D044">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运营管理制度</w:t>
            </w:r>
          </w:p>
        </w:tc>
        <w:tc>
          <w:tcPr>
            <w:tcW w:w="465" w:type="pct"/>
            <w:vAlign w:val="center"/>
          </w:tcPr>
          <w:p w14:paraId="64A6BFA1">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5分</w:t>
            </w:r>
          </w:p>
        </w:tc>
        <w:tc>
          <w:tcPr>
            <w:tcW w:w="3303" w:type="pct"/>
            <w:gridSpan w:val="2"/>
            <w:vAlign w:val="center"/>
          </w:tcPr>
          <w:p w14:paraId="6C127826">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根据投标人针对本项目的作业环境制定具体的运营管理制度进行综合评分。</w:t>
            </w:r>
          </w:p>
          <w:p w14:paraId="1B9842E4">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1.管理制度完善具体、对本项目有针对性，可行性强，得5分；</w:t>
            </w:r>
          </w:p>
          <w:p w14:paraId="3B4AECAF">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2.管理制度基本完善、可行性较强，得3分；</w:t>
            </w:r>
          </w:p>
          <w:p w14:paraId="4466D6D5">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3.管理制度不够完善、可行性一般，得2分；</w:t>
            </w:r>
          </w:p>
          <w:p w14:paraId="384C7A61">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4.管理制度不够具体、没有可行性，或没有相关论述，得1分。</w:t>
            </w:r>
          </w:p>
        </w:tc>
      </w:tr>
      <w:tr w14:paraId="3C94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690" w:type="pct"/>
            <w:gridSpan w:val="2"/>
            <w:vMerge w:val="continue"/>
            <w:vAlign w:val="center"/>
          </w:tcPr>
          <w:p w14:paraId="311B1CBF">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rPr>
                <w:rFonts w:hint="eastAsia" w:ascii="宋体" w:hAnsi="宋体" w:cs="宋体"/>
                <w:color w:val="000000" w:themeColor="text1"/>
                <w:sz w:val="22"/>
                <w:szCs w:val="22"/>
                <w:highlight w:val="none"/>
                <w14:textFill>
                  <w14:solidFill>
                    <w14:schemeClr w14:val="tx1"/>
                  </w14:solidFill>
                </w14:textFill>
              </w:rPr>
            </w:pPr>
          </w:p>
        </w:tc>
        <w:tc>
          <w:tcPr>
            <w:tcW w:w="542" w:type="pct"/>
            <w:gridSpan w:val="2"/>
            <w:vAlign w:val="center"/>
          </w:tcPr>
          <w:p w14:paraId="782A93C4">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应急预案</w:t>
            </w:r>
          </w:p>
        </w:tc>
        <w:tc>
          <w:tcPr>
            <w:tcW w:w="465" w:type="pct"/>
            <w:vAlign w:val="center"/>
          </w:tcPr>
          <w:p w14:paraId="1473B1E1">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5分</w:t>
            </w:r>
          </w:p>
        </w:tc>
        <w:tc>
          <w:tcPr>
            <w:tcW w:w="3303" w:type="pct"/>
            <w:gridSpan w:val="2"/>
            <w:vAlign w:val="center"/>
          </w:tcPr>
          <w:p w14:paraId="357BB8F7">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根据投标人提供的应急预案方案进行综合评分。</w:t>
            </w:r>
          </w:p>
          <w:p w14:paraId="6673A65B">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1．应急准备充分，应急预案科学合理，可操作性强，考虑周全，符合操作实际，能有效快速恢复设备正常运行，得5分；</w:t>
            </w:r>
          </w:p>
          <w:p w14:paraId="7DC1EDF6">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2．应急准备较充分，应急预案较科学合理，可操作性较强，考虑较周全，基本符合操作实际，能较快恢复设备正常运行，得3分；</w:t>
            </w:r>
          </w:p>
          <w:p w14:paraId="13D2EEB4">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3．应急准备有一定基础，应急预案有一定合理性，可操作性一般，考虑不够周全，部分符合操作实际，能恢复设备正常运行，得2分；</w:t>
            </w:r>
          </w:p>
          <w:p w14:paraId="1E1C3E71">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4．应急准备不充分，应急预案存在一定问题，可操作性差，考虑不周全，与操作实际脱节，得1分；</w:t>
            </w:r>
          </w:p>
        </w:tc>
      </w:tr>
      <w:tr w14:paraId="648A1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0" w:type="pct"/>
            <w:gridSpan w:val="2"/>
            <w:vMerge w:val="continue"/>
            <w:vAlign w:val="center"/>
          </w:tcPr>
          <w:p w14:paraId="1E840AF2">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rPr>
                <w:rFonts w:hint="eastAsia" w:ascii="宋体" w:hAnsi="宋体" w:cs="宋体"/>
                <w:color w:val="000000" w:themeColor="text1"/>
                <w:sz w:val="22"/>
                <w:szCs w:val="22"/>
                <w:highlight w:val="none"/>
                <w14:textFill>
                  <w14:solidFill>
                    <w14:schemeClr w14:val="tx1"/>
                  </w14:solidFill>
                </w14:textFill>
              </w:rPr>
            </w:pPr>
          </w:p>
        </w:tc>
        <w:tc>
          <w:tcPr>
            <w:tcW w:w="542" w:type="pct"/>
            <w:gridSpan w:val="2"/>
            <w:vAlign w:val="center"/>
          </w:tcPr>
          <w:p w14:paraId="4AA4A48E">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自动监测设备和系统技术要求响应情况</w:t>
            </w:r>
          </w:p>
        </w:tc>
        <w:tc>
          <w:tcPr>
            <w:tcW w:w="465" w:type="pct"/>
            <w:vAlign w:val="center"/>
          </w:tcPr>
          <w:p w14:paraId="2949AFBB">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10分</w:t>
            </w:r>
          </w:p>
        </w:tc>
        <w:tc>
          <w:tcPr>
            <w:tcW w:w="3303" w:type="pct"/>
            <w:gridSpan w:val="2"/>
            <w:vAlign w:val="center"/>
          </w:tcPr>
          <w:p w14:paraId="0AE7721A">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新建微型水质自动监测站所有指标均满足采购文件技术要求的得10分，①参数中带▲号参数为重要指标，一项不满足，扣1分；②其余参数若有一项不满足要求的，扣0.5分，扣完为止。</w:t>
            </w:r>
          </w:p>
          <w:p w14:paraId="6C1108C3">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评审依据：带▲号参数需按照要求提供证明文件，未提供不得分。</w:t>
            </w:r>
          </w:p>
        </w:tc>
      </w:tr>
      <w:tr w14:paraId="3728A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0" w:type="pct"/>
            <w:gridSpan w:val="2"/>
            <w:vMerge w:val="continue"/>
            <w:vAlign w:val="center"/>
          </w:tcPr>
          <w:p w14:paraId="21E057A5">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rPr>
                <w:rFonts w:hint="eastAsia" w:ascii="宋体" w:hAnsi="宋体" w:cs="宋体"/>
                <w:color w:val="000000" w:themeColor="text1"/>
                <w:sz w:val="22"/>
                <w:szCs w:val="22"/>
                <w:highlight w:val="none"/>
                <w14:textFill>
                  <w14:solidFill>
                    <w14:schemeClr w14:val="tx1"/>
                  </w14:solidFill>
                </w14:textFill>
              </w:rPr>
            </w:pPr>
          </w:p>
        </w:tc>
        <w:tc>
          <w:tcPr>
            <w:tcW w:w="542" w:type="pct"/>
            <w:gridSpan w:val="2"/>
            <w:vAlign w:val="center"/>
          </w:tcPr>
          <w:p w14:paraId="368F1A07">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运维工作信息化程度</w:t>
            </w:r>
          </w:p>
        </w:tc>
        <w:tc>
          <w:tcPr>
            <w:tcW w:w="465" w:type="pct"/>
            <w:vAlign w:val="center"/>
          </w:tcPr>
          <w:p w14:paraId="2AE64427">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5分</w:t>
            </w:r>
          </w:p>
        </w:tc>
        <w:tc>
          <w:tcPr>
            <w:tcW w:w="3303" w:type="pct"/>
            <w:gridSpan w:val="2"/>
            <w:vAlign w:val="center"/>
          </w:tcPr>
          <w:p w14:paraId="5ED15C31">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根据投标人运维工作信息化程度进行综合评分。</w:t>
            </w:r>
          </w:p>
          <w:p w14:paraId="20CA9D58">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1、投标人在运维工作中已实现信息化管理，信息化管理程度高、信息化管理同时覆盖：运维任务计划下达，现场运维实施、应急运维处理、物料管理、备机备件管理等内容，管理体系与本项目适用性强，得5分；</w:t>
            </w:r>
          </w:p>
          <w:p w14:paraId="1802EEC5">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2、投标人在运维工作中具有信息化管理系统，信息化管理包括上述内容的一部分，管理体系部分适用与本项目，得3分；</w:t>
            </w:r>
          </w:p>
          <w:p w14:paraId="438EBF14">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3、投标人具有运维信息化管理系统，但不具备运维任务计划下达，现场运维实施、应急运维处理、物料管理、备机备件管理等内容的任一项，得1分；</w:t>
            </w:r>
          </w:p>
          <w:p w14:paraId="56452EFE">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4、无相关信息化系统的，得0分。</w:t>
            </w:r>
          </w:p>
        </w:tc>
      </w:tr>
      <w:tr w14:paraId="4F022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0" w:type="pct"/>
            <w:gridSpan w:val="2"/>
            <w:vMerge w:val="restart"/>
            <w:vAlign w:val="center"/>
          </w:tcPr>
          <w:p w14:paraId="2C934A35">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商务部分</w:t>
            </w:r>
          </w:p>
          <w:p w14:paraId="2992ACA5">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(30分)</w:t>
            </w:r>
          </w:p>
        </w:tc>
        <w:tc>
          <w:tcPr>
            <w:tcW w:w="542" w:type="pct"/>
            <w:gridSpan w:val="2"/>
            <w:vAlign w:val="center"/>
          </w:tcPr>
          <w:p w14:paraId="7AF6042A">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人员设置</w:t>
            </w:r>
          </w:p>
        </w:tc>
        <w:tc>
          <w:tcPr>
            <w:tcW w:w="465" w:type="pct"/>
            <w:vAlign w:val="center"/>
          </w:tcPr>
          <w:p w14:paraId="4B0AB160">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10分</w:t>
            </w:r>
          </w:p>
        </w:tc>
        <w:tc>
          <w:tcPr>
            <w:tcW w:w="3303" w:type="pct"/>
            <w:gridSpan w:val="2"/>
            <w:vAlign w:val="center"/>
          </w:tcPr>
          <w:p w14:paraId="74437BED">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1、项目负责人（本项最高得5分）</w:t>
            </w:r>
          </w:p>
          <w:p w14:paraId="5BF61AF2">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 拟投入的项目负责人具有研究生及以上学历的，得1分</w:t>
            </w:r>
          </w:p>
          <w:p w14:paraId="0B74ACD4">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w:t>
            </w:r>
            <w:bookmarkStart w:id="232" w:name="OLE_LINK2"/>
            <w:r>
              <w:rPr>
                <w:rFonts w:hint="eastAsia" w:ascii="宋体" w:hAnsi="宋体" w:cs="宋体"/>
                <w:color w:val="000000" w:themeColor="text1"/>
                <w:sz w:val="22"/>
                <w:szCs w:val="22"/>
                <w:highlight w:val="none"/>
                <w14:textFill>
                  <w14:solidFill>
                    <w14:schemeClr w14:val="tx1"/>
                  </w14:solidFill>
                </w14:textFill>
              </w:rPr>
              <w:t>具有生态环境类或测控类高级工程师及以上职称证书的，得1分</w:t>
            </w:r>
            <w:bookmarkEnd w:id="232"/>
          </w:p>
          <w:p w14:paraId="1616FE9C">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3.具有中国环境监测总站颁发的国家地表水环境质量自动监测技术与运维管理培训合格证的，得1分</w:t>
            </w:r>
          </w:p>
          <w:p w14:paraId="0B3265FD">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4.具有5年及以上地表水质自动监测站运维项目管理经验，得2分。</w:t>
            </w:r>
          </w:p>
          <w:p w14:paraId="277F610B">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评审依据：需提供项目负责人相关简历证明、证书、运维项目管理经验证明文件、与投标人签订的有效期内的劳动合同、开标截止前当月或上月</w:t>
            </w:r>
            <w:r>
              <w:rPr>
                <w:rFonts w:hint="eastAsia" w:ascii="宋体" w:hAnsi="宋体" w:cs="宋体"/>
                <w:color w:val="000000" w:themeColor="text1"/>
                <w:sz w:val="22"/>
                <w:szCs w:val="22"/>
                <w:highlight w:val="none"/>
                <w:lang w:val="en-US" w:eastAsia="zh-CN"/>
                <w14:textFill>
                  <w14:solidFill>
                    <w14:schemeClr w14:val="tx1"/>
                  </w14:solidFill>
                </w14:textFill>
              </w:rPr>
              <w:t>投标人为其</w:t>
            </w:r>
            <w:r>
              <w:rPr>
                <w:rFonts w:hint="eastAsia" w:ascii="宋体" w:hAnsi="宋体" w:cs="宋体"/>
                <w:color w:val="000000" w:themeColor="text1"/>
                <w:sz w:val="22"/>
                <w:szCs w:val="22"/>
                <w:highlight w:val="none"/>
                <w14:textFill>
                  <w14:solidFill>
                    <w14:schemeClr w14:val="tx1"/>
                  </w14:solidFill>
                </w14:textFill>
              </w:rPr>
              <w:t>购买的社保证明，未提供的不得分。</w:t>
            </w:r>
          </w:p>
          <w:p w14:paraId="5CBABD6F">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2、项目组成员（不含项目负责人，本项最高得5分）</w:t>
            </w:r>
          </w:p>
          <w:p w14:paraId="03022E62">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 拟参与本项目的</w:t>
            </w:r>
            <w:bookmarkStart w:id="233" w:name="OLE_LINK3"/>
            <w:r>
              <w:rPr>
                <w:rFonts w:hint="eastAsia" w:ascii="宋体" w:hAnsi="宋体" w:cs="宋体"/>
                <w:color w:val="000000" w:themeColor="text1"/>
                <w:sz w:val="22"/>
                <w:szCs w:val="22"/>
                <w:highlight w:val="none"/>
                <w14:textFill>
                  <w14:solidFill>
                    <w14:schemeClr w14:val="tx1"/>
                  </w14:solidFill>
                </w14:textFill>
              </w:rPr>
              <w:t>项目组成员</w:t>
            </w:r>
            <w:bookmarkEnd w:id="233"/>
            <w:r>
              <w:rPr>
                <w:rFonts w:hint="eastAsia" w:ascii="宋体" w:hAnsi="宋体" w:cs="宋体"/>
                <w:color w:val="000000" w:themeColor="text1"/>
                <w:sz w:val="22"/>
                <w:szCs w:val="22"/>
                <w:highlight w:val="none"/>
                <w14:textFill>
                  <w14:solidFill>
                    <w14:schemeClr w14:val="tx1"/>
                  </w14:solidFill>
                </w14:textFill>
              </w:rPr>
              <w:t>具有生态环境类或测控类高级工程师及以上职称证书的，每提供个得1分，最高得2分。</w:t>
            </w:r>
          </w:p>
          <w:p w14:paraId="05BA1E07">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评审依据：需提供项目组成员相关证书、与投标人签订的有效期内的劳动合同、开标截止前当月或上月</w:t>
            </w:r>
            <w:r>
              <w:rPr>
                <w:rFonts w:hint="eastAsia" w:ascii="宋体" w:hAnsi="宋体" w:cs="宋体"/>
                <w:color w:val="000000" w:themeColor="text1"/>
                <w:sz w:val="22"/>
                <w:szCs w:val="22"/>
                <w:highlight w:val="none"/>
                <w:lang w:val="en-US" w:eastAsia="zh-CN"/>
                <w14:textFill>
                  <w14:solidFill>
                    <w14:schemeClr w14:val="tx1"/>
                  </w14:solidFill>
                </w14:textFill>
              </w:rPr>
              <w:t>投标人为其</w:t>
            </w:r>
            <w:r>
              <w:rPr>
                <w:rFonts w:hint="eastAsia" w:ascii="宋体" w:hAnsi="宋体" w:cs="宋体"/>
                <w:color w:val="000000" w:themeColor="text1"/>
                <w:sz w:val="22"/>
                <w:szCs w:val="22"/>
                <w:highlight w:val="none"/>
                <w14:textFill>
                  <w14:solidFill>
                    <w14:schemeClr w14:val="tx1"/>
                  </w14:solidFill>
                </w14:textFill>
              </w:rPr>
              <w:t>购买的社保证明，未提供的不得分。</w:t>
            </w:r>
          </w:p>
          <w:p w14:paraId="501E9D67">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 拟参与本项目的项目组成员具有中国环境监测总站颁发的国家地表水环境质量自动监测技术与运维管理培训合格证的，每提供一个得1分，最高得3分。   </w:t>
            </w:r>
          </w:p>
          <w:p w14:paraId="4189655B">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评审依据：提供人员名单、证明材料复印件（包括证书及与投标人签订的有效期内的劳动合同、开标截止前当月或上月</w:t>
            </w:r>
            <w:r>
              <w:rPr>
                <w:rFonts w:hint="eastAsia" w:ascii="宋体" w:hAnsi="宋体" w:cs="宋体"/>
                <w:color w:val="000000" w:themeColor="text1"/>
                <w:sz w:val="22"/>
                <w:szCs w:val="22"/>
                <w:highlight w:val="none"/>
                <w:lang w:val="en-US" w:eastAsia="zh-CN"/>
                <w14:textFill>
                  <w14:solidFill>
                    <w14:schemeClr w14:val="tx1"/>
                  </w14:solidFill>
                </w14:textFill>
              </w:rPr>
              <w:t>投标人为其</w:t>
            </w:r>
            <w:r>
              <w:rPr>
                <w:rFonts w:hint="eastAsia" w:ascii="宋体" w:hAnsi="宋体" w:cs="宋体"/>
                <w:color w:val="000000" w:themeColor="text1"/>
                <w:sz w:val="22"/>
                <w:szCs w:val="22"/>
                <w:highlight w:val="none"/>
                <w14:textFill>
                  <w14:solidFill>
                    <w14:schemeClr w14:val="tx1"/>
                  </w14:solidFill>
                </w14:textFill>
              </w:rPr>
              <w:t>购买的社保证明）。</w:t>
            </w:r>
          </w:p>
        </w:tc>
      </w:tr>
      <w:tr w14:paraId="26077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0" w:type="pct"/>
            <w:gridSpan w:val="2"/>
            <w:vMerge w:val="continue"/>
            <w:vAlign w:val="center"/>
          </w:tcPr>
          <w:p w14:paraId="1FF875A1">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rPr>
                <w:rFonts w:hint="eastAsia" w:ascii="宋体" w:hAnsi="宋体" w:cs="宋体"/>
                <w:color w:val="000000" w:themeColor="text1"/>
                <w:sz w:val="22"/>
                <w:szCs w:val="22"/>
                <w:highlight w:val="none"/>
                <w14:textFill>
                  <w14:solidFill>
                    <w14:schemeClr w14:val="tx1"/>
                  </w14:solidFill>
                </w14:textFill>
              </w:rPr>
            </w:pPr>
          </w:p>
        </w:tc>
        <w:tc>
          <w:tcPr>
            <w:tcW w:w="542" w:type="pct"/>
            <w:gridSpan w:val="2"/>
            <w:vAlign w:val="center"/>
          </w:tcPr>
          <w:p w14:paraId="19C558DD">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投标人管理体系认证</w:t>
            </w:r>
          </w:p>
        </w:tc>
        <w:tc>
          <w:tcPr>
            <w:tcW w:w="465" w:type="pct"/>
            <w:vAlign w:val="center"/>
          </w:tcPr>
          <w:p w14:paraId="42EED2AD">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5分</w:t>
            </w:r>
          </w:p>
        </w:tc>
        <w:tc>
          <w:tcPr>
            <w:tcW w:w="3303" w:type="pct"/>
            <w:gridSpan w:val="2"/>
            <w:vAlign w:val="center"/>
          </w:tcPr>
          <w:p w14:paraId="5F15201F">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为保障项目质量，以及提供规范的管理支撑体系；投标人具有以下管理体系证书：</w:t>
            </w:r>
          </w:p>
          <w:p w14:paraId="487E26F8">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1.ISO9001质量管理体系认证证书</w:t>
            </w:r>
          </w:p>
          <w:p w14:paraId="2AA9CC8A">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2.ISO45001职业健康安全管理体系认证证书</w:t>
            </w:r>
          </w:p>
          <w:p w14:paraId="4F1898CF">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3.ISO14001环境管理体系认证证书</w:t>
            </w:r>
          </w:p>
          <w:p w14:paraId="7DAB0C65">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评审依据：须提供以上认证证书复印件加盖公章，以上证书均必须在有效期内并能够在国家认证认可监督管理委员会网址可查询且查询状态为有效。查询网址：http://cx.cnca.cn/CertECloud/index/index/page上可查询并处于有效状态，提供查询截图编入投标文件，否则不得分。能够全部提供的得5分，每缺一项扣2分，直至扣完为止。</w:t>
            </w:r>
          </w:p>
        </w:tc>
      </w:tr>
      <w:tr w14:paraId="6425B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0" w:type="pct"/>
            <w:gridSpan w:val="2"/>
            <w:vMerge w:val="continue"/>
            <w:vAlign w:val="center"/>
          </w:tcPr>
          <w:p w14:paraId="08934941">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rPr>
                <w:rFonts w:hint="eastAsia" w:ascii="宋体" w:hAnsi="宋体" w:cs="宋体"/>
                <w:color w:val="000000" w:themeColor="text1"/>
                <w:sz w:val="22"/>
                <w:szCs w:val="22"/>
                <w:highlight w:val="none"/>
                <w14:textFill>
                  <w14:solidFill>
                    <w14:schemeClr w14:val="tx1"/>
                  </w14:solidFill>
                </w14:textFill>
              </w:rPr>
            </w:pPr>
          </w:p>
        </w:tc>
        <w:tc>
          <w:tcPr>
            <w:tcW w:w="542" w:type="pct"/>
            <w:gridSpan w:val="2"/>
            <w:vAlign w:val="center"/>
          </w:tcPr>
          <w:p w14:paraId="156E0201">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水质自动监测站的优越性</w:t>
            </w:r>
          </w:p>
        </w:tc>
        <w:tc>
          <w:tcPr>
            <w:tcW w:w="465" w:type="pct"/>
            <w:vAlign w:val="center"/>
          </w:tcPr>
          <w:p w14:paraId="384FAD77">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5分</w:t>
            </w:r>
          </w:p>
        </w:tc>
        <w:tc>
          <w:tcPr>
            <w:tcW w:w="3303" w:type="pct"/>
            <w:gridSpan w:val="2"/>
            <w:vAlign w:val="center"/>
          </w:tcPr>
          <w:p w14:paraId="63BE848C">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投标人或所投小型水质自动监测站具备以下优越性：</w:t>
            </w:r>
          </w:p>
          <w:p w14:paraId="1EEFD24B">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1.所投水质自动监测站通过了IP55试验检测、绝缘电阻检测、绝缘强度检测的，得3分。</w:t>
            </w:r>
          </w:p>
          <w:p w14:paraId="71633C25">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评审依据：须提供省级或以上计量检测部门出具的检测报告复印件作为证明文件，未提供不得分。</w:t>
            </w:r>
          </w:p>
          <w:p w14:paraId="07073A6D">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2.所投系统仪器具有先进性定量进样技术（水质监测等方面技术方向）的，得2分。</w:t>
            </w:r>
          </w:p>
          <w:p w14:paraId="3B591920">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评审依据：须提供国家相关鉴定部门颁发证书作为证明文件，未提供不得分。</w:t>
            </w:r>
          </w:p>
        </w:tc>
      </w:tr>
      <w:tr w14:paraId="1ACBF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0" w:type="pct"/>
            <w:gridSpan w:val="2"/>
            <w:vMerge w:val="continue"/>
            <w:vAlign w:val="center"/>
          </w:tcPr>
          <w:p w14:paraId="16CE14A3">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rPr>
                <w:rFonts w:hint="eastAsia" w:ascii="宋体" w:hAnsi="宋体" w:cs="宋体"/>
                <w:color w:val="000000" w:themeColor="text1"/>
                <w:sz w:val="22"/>
                <w:szCs w:val="22"/>
                <w:highlight w:val="none"/>
                <w14:textFill>
                  <w14:solidFill>
                    <w14:schemeClr w14:val="tx1"/>
                  </w14:solidFill>
                </w14:textFill>
              </w:rPr>
            </w:pPr>
          </w:p>
        </w:tc>
        <w:tc>
          <w:tcPr>
            <w:tcW w:w="542" w:type="pct"/>
            <w:gridSpan w:val="2"/>
            <w:vAlign w:val="center"/>
          </w:tcPr>
          <w:p w14:paraId="7AFA75B2">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相关业绩</w:t>
            </w:r>
          </w:p>
        </w:tc>
        <w:tc>
          <w:tcPr>
            <w:tcW w:w="465" w:type="pct"/>
            <w:vAlign w:val="center"/>
          </w:tcPr>
          <w:p w14:paraId="75822E9D">
            <w:pPr>
              <w:widowControl/>
              <w:pBdr>
                <w:top w:val="none" w:color="000000" w:sz="0" w:space="0"/>
                <w:left w:val="none" w:color="000000" w:sz="0" w:space="0"/>
                <w:bottom w:val="none" w:color="000000" w:sz="0" w:space="0"/>
                <w:right w:val="none" w:color="000000" w:sz="0" w:space="0"/>
              </w:pBdr>
              <w:adjustRightInd/>
              <w:snapToGrid/>
              <w:spacing w:line="279" w:lineRule="atLeast"/>
              <w:ind w:firstLine="0" w:firstLineChars="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10分</w:t>
            </w:r>
          </w:p>
        </w:tc>
        <w:tc>
          <w:tcPr>
            <w:tcW w:w="3303" w:type="pct"/>
            <w:gridSpan w:val="2"/>
            <w:vAlign w:val="center"/>
          </w:tcPr>
          <w:p w14:paraId="1E432E1B">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根据投标人提供的2022年1月1日至今（以合同签订时间为准）类似水质自动监测站建设或运维业绩进行评审。每提供一个业绩得2分，最高得10分。</w:t>
            </w:r>
          </w:p>
          <w:p w14:paraId="124C7909">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需要提供运维合同等证明资料，运维合同需包括但不限于合同首页、主要内容页、金额页、签字页。未能提供业绩证明材料或证明材料不完整的，其他业绩不予认定。</w:t>
            </w:r>
          </w:p>
        </w:tc>
      </w:tr>
      <w:tr w14:paraId="295F3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7"/>
            <w:vAlign w:val="center"/>
          </w:tcPr>
          <w:p w14:paraId="1EAB36BA">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合计100分</w:t>
            </w:r>
          </w:p>
        </w:tc>
      </w:tr>
      <w:bookmarkEnd w:id="230"/>
    </w:tbl>
    <w:p w14:paraId="44FA7EBF">
      <w:pPr>
        <w:widowControl/>
        <w:pBdr>
          <w:top w:val="none" w:color="000000" w:sz="0" w:space="0"/>
          <w:left w:val="none" w:color="000000" w:sz="0" w:space="0"/>
          <w:bottom w:val="none" w:color="000000" w:sz="0" w:space="0"/>
          <w:right w:val="none" w:color="000000" w:sz="0" w:space="0"/>
        </w:pBdr>
        <w:adjustRightInd/>
        <w:snapToGrid/>
        <w:spacing w:line="360" w:lineRule="auto"/>
        <w:ind w:firstLine="389"/>
        <w:jc w:val="both"/>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评标采用综合评分法，评标委员会对满足招标文件实质要求的投标文件，按照本章规定的评分标准进行打分，并按得分由高到低顺序推荐中标候选人。</w:t>
      </w:r>
      <w:r>
        <w:rPr>
          <w:rFonts w:hint="eastAsia" w:ascii="宋体" w:hAnsi="宋体" w:cs="宋体"/>
          <w:b/>
          <w:bCs/>
          <w:color w:val="000000" w:themeColor="text1"/>
          <w:sz w:val="22"/>
          <w:szCs w:val="22"/>
          <w:highlight w:val="none"/>
          <w14:textFill>
            <w14:solidFill>
              <w14:schemeClr w14:val="tx1"/>
            </w14:solidFill>
          </w14:textFill>
        </w:rPr>
        <w:t>采购人将对第一中标候选人提交的所有资料的真实性进行考察、核实，若发现弄虚作假的，取消中标资格，并进行公示等相关处罚。</w:t>
      </w:r>
    </w:p>
    <w:p w14:paraId="58DD36E8">
      <w:pPr>
        <w:widowControl/>
        <w:pBdr>
          <w:top w:val="none" w:color="000000" w:sz="0" w:space="0"/>
          <w:left w:val="none" w:color="000000" w:sz="0" w:space="0"/>
          <w:bottom w:val="none" w:color="000000" w:sz="0" w:space="0"/>
          <w:right w:val="none" w:color="000000" w:sz="0" w:space="0"/>
        </w:pBdr>
        <w:adjustRightInd/>
        <w:snapToGrid/>
        <w:spacing w:line="360" w:lineRule="auto"/>
        <w:ind w:firstLine="442"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1.资格审查</w:t>
      </w:r>
    </w:p>
    <w:p w14:paraId="3990541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1.1项目开标结束后，采购人对投标人的资格进行审查。</w:t>
      </w:r>
    </w:p>
    <w:p w14:paraId="70F7198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1.2资格审查的内容和标准：见资格审查和评标办法前附表。</w:t>
      </w:r>
    </w:p>
    <w:p w14:paraId="529C013A">
      <w:pPr>
        <w:widowControl/>
        <w:pBdr>
          <w:top w:val="none" w:color="000000" w:sz="0" w:space="0"/>
          <w:left w:val="none" w:color="000000" w:sz="0" w:space="0"/>
          <w:bottom w:val="none" w:color="000000" w:sz="0" w:space="0"/>
          <w:right w:val="none" w:color="000000" w:sz="0" w:space="0"/>
        </w:pBdr>
        <w:adjustRightInd/>
        <w:snapToGrid/>
        <w:spacing w:line="360" w:lineRule="auto"/>
        <w:ind w:firstLine="442" w:firstLineChars="200"/>
        <w:jc w:val="left"/>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2.评标</w:t>
      </w:r>
    </w:p>
    <w:bookmarkEnd w:id="231"/>
    <w:p w14:paraId="45E7E12A">
      <w:pPr>
        <w:widowControl/>
        <w:pBdr>
          <w:top w:val="none" w:color="000000" w:sz="0" w:space="0"/>
          <w:left w:val="none" w:color="000000" w:sz="0" w:space="0"/>
          <w:bottom w:val="none" w:color="000000" w:sz="0" w:space="0"/>
          <w:right w:val="none" w:color="000000" w:sz="0" w:space="0"/>
        </w:pBdr>
        <w:adjustRightInd/>
        <w:snapToGrid/>
        <w:spacing w:line="360" w:lineRule="auto"/>
        <w:ind w:firstLine="442" w:firstLineChars="200"/>
        <w:jc w:val="left"/>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2.1评标方法</w:t>
      </w:r>
    </w:p>
    <w:p w14:paraId="6BB5F2F4">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评标采用综合评分法，评标委员会对满足招标文件实质要求的投标文件，按照本章规定的程序和方法进行评审，并按总得分由高到低顺序推荐中标候选人。</w:t>
      </w:r>
    </w:p>
    <w:p w14:paraId="3E366DA8">
      <w:pPr>
        <w:widowControl/>
        <w:pBdr>
          <w:top w:val="none" w:color="000000" w:sz="0" w:space="0"/>
          <w:left w:val="none" w:color="000000" w:sz="0" w:space="0"/>
          <w:bottom w:val="none" w:color="000000" w:sz="0" w:space="0"/>
          <w:right w:val="none" w:color="000000" w:sz="0" w:space="0"/>
        </w:pBdr>
        <w:adjustRightInd/>
        <w:snapToGrid/>
        <w:spacing w:line="360" w:lineRule="auto"/>
        <w:ind w:firstLine="442" w:firstLineChars="200"/>
        <w:jc w:val="left"/>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2.2初步评审</w:t>
      </w:r>
    </w:p>
    <w:p w14:paraId="491998FA">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2.2.1评标委员会对通过资格审查的投标人进行初步评审。</w:t>
      </w:r>
    </w:p>
    <w:p w14:paraId="760E8B94">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2.2.2初步评审的内容为投标文件的符合性评审。符合性评审的内容及标准：见资格审查和评标办法前附表。</w:t>
      </w:r>
    </w:p>
    <w:p w14:paraId="270DA806">
      <w:pPr>
        <w:widowControl/>
        <w:pBdr>
          <w:top w:val="none" w:color="000000" w:sz="0" w:space="0"/>
          <w:left w:val="none" w:color="000000" w:sz="0" w:space="0"/>
          <w:bottom w:val="none" w:color="000000" w:sz="0" w:space="0"/>
          <w:right w:val="none" w:color="000000" w:sz="0" w:space="0"/>
        </w:pBdr>
        <w:adjustRightInd/>
        <w:snapToGrid/>
        <w:spacing w:line="360" w:lineRule="auto"/>
        <w:ind w:firstLine="442" w:firstLineChars="200"/>
        <w:jc w:val="left"/>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2.3详细评审</w:t>
      </w:r>
    </w:p>
    <w:p w14:paraId="51F3C060">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2.3.1评标委员会对通过初步评审的投标人进行详细评审。</w:t>
      </w:r>
    </w:p>
    <w:p w14:paraId="0F2806AF">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2.3.2详细评审的内容及标准：见资格审查和评标办法前附表。</w:t>
      </w:r>
    </w:p>
    <w:p w14:paraId="0D9518F5">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2.3.3因落实政府采购政策进行价格调整的，以调整后的价格计算评标基准价和投标报价。</w:t>
      </w:r>
    </w:p>
    <w:p w14:paraId="2BEB1704">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bookmarkStart w:id="234" w:name="_Toc426469924"/>
      <w:r>
        <w:rPr>
          <w:rFonts w:hint="eastAsia" w:ascii="宋体" w:hAnsi="宋体" w:cs="宋体"/>
          <w:color w:val="000000" w:themeColor="text1"/>
          <w:sz w:val="22"/>
          <w:szCs w:val="22"/>
          <w:highlight w:val="none"/>
          <w14:textFill>
            <w14:solidFill>
              <w14:schemeClr w14:val="tx1"/>
            </w14:solidFill>
          </w14:textFill>
        </w:rPr>
        <w:t>2.4评标报告</w:t>
      </w:r>
    </w:p>
    <w:p w14:paraId="74DECE24">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t>2.</w:t>
      </w:r>
      <w:r>
        <w:rPr>
          <w:rFonts w:hint="eastAsia" w:ascii="宋体" w:hAnsi="宋体" w:cs="宋体"/>
          <w:color w:val="000000" w:themeColor="text1"/>
          <w:sz w:val="22"/>
          <w:szCs w:val="22"/>
          <w:highlight w:val="none"/>
          <w14:textFill>
            <w14:solidFill>
              <w14:schemeClr w14:val="tx1"/>
            </w14:solidFill>
          </w14:textFill>
        </w:rPr>
        <w:t>4</w:t>
      </w:r>
      <w:r>
        <w:rPr>
          <w:rFonts w:ascii="宋体" w:hAnsi="宋体" w:cs="宋体"/>
          <w:color w:val="000000" w:themeColor="text1"/>
          <w:sz w:val="22"/>
          <w:szCs w:val="22"/>
          <w:highlight w:val="none"/>
          <w14:textFill>
            <w14:solidFill>
              <w14:schemeClr w14:val="tx1"/>
            </w14:solidFill>
          </w14:textFill>
        </w:rPr>
        <w:t>.1详细评审结束后，</w:t>
      </w:r>
      <w:r>
        <w:rPr>
          <w:rFonts w:hint="eastAsia" w:ascii="宋体" w:hAnsi="宋体" w:cs="宋体"/>
          <w:color w:val="000000" w:themeColor="text1"/>
          <w:sz w:val="22"/>
          <w:szCs w:val="22"/>
          <w:highlight w:val="none"/>
          <w14:textFill>
            <w14:solidFill>
              <w14:schemeClr w14:val="tx1"/>
            </w14:solidFill>
          </w14:textFill>
        </w:rPr>
        <w:t>评标委员会负责编写评标报告。</w:t>
      </w:r>
    </w:p>
    <w:p w14:paraId="2297252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2.4.2采购代理机构自评审结束之日起2个工作日内将评标报告送交采购人。</w:t>
      </w:r>
    </w:p>
    <w:p w14:paraId="1B7A10FB">
      <w:pPr>
        <w:widowControl/>
        <w:pBdr>
          <w:top w:val="none" w:color="000000" w:sz="0" w:space="0"/>
          <w:left w:val="none" w:color="000000" w:sz="0" w:space="0"/>
          <w:bottom w:val="none" w:color="000000" w:sz="0" w:space="0"/>
          <w:right w:val="none" w:color="000000" w:sz="0" w:space="0"/>
        </w:pBdr>
        <w:adjustRightInd/>
        <w:snapToGrid/>
        <w:spacing w:line="360" w:lineRule="auto"/>
        <w:ind w:firstLine="442" w:firstLineChars="200"/>
        <w:jc w:val="left"/>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2.5澄清、说明或补正</w:t>
      </w:r>
    </w:p>
    <w:p w14:paraId="34EA3AA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t>2.</w:t>
      </w:r>
      <w:r>
        <w:rPr>
          <w:rFonts w:hint="eastAsia" w:ascii="宋体" w:hAnsi="宋体" w:cs="宋体"/>
          <w:color w:val="000000" w:themeColor="text1"/>
          <w:sz w:val="22"/>
          <w:szCs w:val="22"/>
          <w:highlight w:val="none"/>
          <w14:textFill>
            <w14:solidFill>
              <w14:schemeClr w14:val="tx1"/>
            </w14:solidFill>
          </w14:textFill>
        </w:rPr>
        <w:t>5</w:t>
      </w:r>
      <w:r>
        <w:rPr>
          <w:rFonts w:ascii="宋体" w:hAnsi="宋体" w:cs="宋体"/>
          <w:color w:val="000000" w:themeColor="text1"/>
          <w:sz w:val="22"/>
          <w:szCs w:val="22"/>
          <w:highlight w:val="none"/>
          <w14:textFill>
            <w14:solidFill>
              <w14:schemeClr w14:val="tx1"/>
            </w14:solidFill>
          </w14:textFill>
        </w:rPr>
        <w:t>.1</w:t>
      </w:r>
      <w:r>
        <w:rPr>
          <w:rFonts w:hint="eastAsia" w:ascii="宋体" w:hAnsi="宋体" w:cs="宋体"/>
          <w:color w:val="000000" w:themeColor="text1"/>
          <w:sz w:val="22"/>
          <w:szCs w:val="22"/>
          <w:highlight w:val="none"/>
          <w14:textFill>
            <w14:solidFill>
              <w14:schemeClr w14:val="tx1"/>
            </w14:solidFill>
          </w14:textFill>
        </w:rPr>
        <w:t>评标委员会在评审过程中，可以要求投标人对投标文件中含义不明确、同类问题表述不一致或者有明显文字和计算错误的内容等作出必要的澄清、说明或者更正。</w:t>
      </w:r>
    </w:p>
    <w:p w14:paraId="18D93831">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t>2.</w:t>
      </w:r>
      <w:r>
        <w:rPr>
          <w:rFonts w:hint="eastAsia" w:ascii="宋体" w:hAnsi="宋体" w:cs="宋体"/>
          <w:color w:val="000000" w:themeColor="text1"/>
          <w:sz w:val="22"/>
          <w:szCs w:val="22"/>
          <w:highlight w:val="none"/>
          <w14:textFill>
            <w14:solidFill>
              <w14:schemeClr w14:val="tx1"/>
            </w14:solidFill>
          </w14:textFill>
        </w:rPr>
        <w:t>5</w:t>
      </w:r>
      <w:r>
        <w:rPr>
          <w:rFonts w:ascii="宋体" w:hAnsi="宋体" w:cs="宋体"/>
          <w:color w:val="000000" w:themeColor="text1"/>
          <w:sz w:val="22"/>
          <w:szCs w:val="22"/>
          <w:highlight w:val="none"/>
          <w14:textFill>
            <w14:solidFill>
              <w14:schemeClr w14:val="tx1"/>
            </w14:solidFill>
          </w14:textFill>
        </w:rPr>
        <w:t>.2</w:t>
      </w:r>
      <w:r>
        <w:rPr>
          <w:rFonts w:hint="eastAsia" w:ascii="宋体" w:hAnsi="宋体" w:cs="宋体"/>
          <w:color w:val="000000" w:themeColor="text1"/>
          <w:sz w:val="22"/>
          <w:szCs w:val="22"/>
          <w:highlight w:val="none"/>
          <w14:textFill>
            <w14:solidFill>
              <w14:schemeClr w14:val="tx1"/>
            </w14:solidFill>
          </w14:textFill>
        </w:rPr>
        <w:t>评标委员会要求投标人澄清、说明或者更正投标文件应当以书面形式作出。</w:t>
      </w:r>
    </w:p>
    <w:p w14:paraId="604D7EA0">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2.5.3投标人的澄清、说明或者更正应当由法定代表人或其授权代表签字或者加盖公章。由授权代表签字的，应当附法定代表人授权书。投标人的书面澄清材料作为投标文件的补充。</w:t>
      </w:r>
    </w:p>
    <w:p w14:paraId="17FF9D43">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2.5.4投标人的澄清、说明或者更正不得超出投标文件的范围或者改变投标文件的实质性内容。</w:t>
      </w:r>
    </w:p>
    <w:p w14:paraId="4440E4B6">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t>2.</w:t>
      </w:r>
      <w:r>
        <w:rPr>
          <w:rFonts w:hint="eastAsia" w:ascii="宋体" w:hAnsi="宋体" w:cs="宋体"/>
          <w:color w:val="000000" w:themeColor="text1"/>
          <w:sz w:val="22"/>
          <w:szCs w:val="22"/>
          <w:highlight w:val="none"/>
          <w14:textFill>
            <w14:solidFill>
              <w14:schemeClr w14:val="tx1"/>
            </w14:solidFill>
          </w14:textFill>
        </w:rPr>
        <w:t>5</w:t>
      </w:r>
      <w:r>
        <w:rPr>
          <w:rFonts w:ascii="宋体" w:hAnsi="宋体" w:cs="宋体"/>
          <w:color w:val="000000" w:themeColor="text1"/>
          <w:sz w:val="22"/>
          <w:szCs w:val="22"/>
          <w:highlight w:val="none"/>
          <w14:textFill>
            <w14:solidFill>
              <w14:schemeClr w14:val="tx1"/>
            </w14:solidFill>
          </w14:textFill>
        </w:rPr>
        <w:t>.</w:t>
      </w:r>
      <w:r>
        <w:rPr>
          <w:rFonts w:hint="eastAsia" w:ascii="宋体" w:hAnsi="宋体" w:cs="宋体"/>
          <w:color w:val="000000" w:themeColor="text1"/>
          <w:sz w:val="22"/>
          <w:szCs w:val="22"/>
          <w:highlight w:val="none"/>
          <w14:textFill>
            <w14:solidFill>
              <w14:schemeClr w14:val="tx1"/>
            </w14:solidFill>
          </w14:textFill>
        </w:rPr>
        <w:t>5评标委员会不得接受投标人主动提出的澄清、说明或补正。</w:t>
      </w:r>
    </w:p>
    <w:p w14:paraId="0892FE00">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3.评标过程中特殊情况的处理规定</w:t>
      </w:r>
    </w:p>
    <w:p w14:paraId="0A26FE5A">
      <w:pPr>
        <w:widowControl/>
        <w:pBdr>
          <w:top w:val="none" w:color="000000" w:sz="0" w:space="0"/>
          <w:left w:val="none" w:color="000000" w:sz="0" w:space="0"/>
          <w:bottom w:val="none" w:color="000000" w:sz="0" w:space="0"/>
          <w:right w:val="none" w:color="000000" w:sz="0" w:space="0"/>
        </w:pBdr>
        <w:adjustRightInd/>
        <w:snapToGrid/>
        <w:spacing w:line="360" w:lineRule="auto"/>
        <w:ind w:firstLine="442" w:firstLineChars="200"/>
        <w:jc w:val="left"/>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3.1投标报价的修正</w:t>
      </w:r>
    </w:p>
    <w:p w14:paraId="14F86697">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投标文件报价出现前后不一致的，按照下列规定修正： </w:t>
      </w:r>
    </w:p>
    <w:p w14:paraId="1884628F">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（1）投标文件中开标一览表内容与投标文件中相应内容不一致的，以开标一览表为准； </w:t>
      </w:r>
    </w:p>
    <w:p w14:paraId="29C5C82A">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（2）大写金额和小写金额不一致的，以大写金额为准； </w:t>
      </w:r>
    </w:p>
    <w:p w14:paraId="239CC04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（3）单价金额小数点或者百分比有明显错位的，以开标一览表的总价为准，并修改单价； </w:t>
      </w:r>
    </w:p>
    <w:p w14:paraId="4F897FD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（4）总价金额与按单价汇总金额不一致的，以单价金额计算结果为准。 </w:t>
      </w:r>
    </w:p>
    <w:p w14:paraId="68FB4F3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同时出现两种以上不一致的，按照前款规定的顺序修正。修正后的报价按照本章第2.5条的规定经投标人确认后产生约束力，投标人不确认的，其投标无效。</w:t>
      </w:r>
    </w:p>
    <w:p w14:paraId="0C1A326B">
      <w:pPr>
        <w:widowControl/>
        <w:pBdr>
          <w:top w:val="none" w:color="000000" w:sz="0" w:space="0"/>
          <w:left w:val="none" w:color="000000" w:sz="0" w:space="0"/>
          <w:bottom w:val="none" w:color="000000" w:sz="0" w:space="0"/>
          <w:right w:val="none" w:color="000000" w:sz="0" w:space="0"/>
        </w:pBdr>
        <w:adjustRightInd/>
        <w:snapToGrid/>
        <w:spacing w:line="360" w:lineRule="auto"/>
        <w:ind w:firstLine="442" w:firstLineChars="200"/>
        <w:jc w:val="left"/>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3.2评标委员会成员的更换</w:t>
      </w:r>
    </w:p>
    <w:p w14:paraId="640CF30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3.2.1评标过程中，因评标委员会成员缺席、回避或者健康等特殊原因导致评标委员会组成不符合规定的，采购人将依法补足后继续评标。被更换的评标委员会成员所作出的评标意见无效。 </w:t>
      </w:r>
    </w:p>
    <w:p w14:paraId="5FD38025">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3.2.2无法及时补足评标委员会成员的，采购人将停止评标活动，封存所有投标文件和开标、评标资料，依法重新组建评标委员会进行评标。原评标委员会所作出的评标意见无效。</w:t>
      </w:r>
    </w:p>
    <w:p w14:paraId="4FE80546">
      <w:pPr>
        <w:widowControl/>
        <w:pBdr>
          <w:top w:val="none" w:color="000000" w:sz="0" w:space="0"/>
          <w:left w:val="none" w:color="000000" w:sz="0" w:space="0"/>
          <w:bottom w:val="none" w:color="000000" w:sz="0" w:space="0"/>
          <w:right w:val="none" w:color="000000" w:sz="0" w:space="0"/>
        </w:pBdr>
        <w:adjustRightInd/>
        <w:snapToGrid/>
        <w:spacing w:line="360" w:lineRule="auto"/>
        <w:ind w:firstLine="442" w:firstLineChars="200"/>
        <w:jc w:val="left"/>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3.3异常低价的处理</w:t>
      </w:r>
    </w:p>
    <w:p w14:paraId="131F359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2F5859B8">
      <w:pPr>
        <w:widowControl/>
        <w:pBdr>
          <w:top w:val="none" w:color="000000" w:sz="0" w:space="0"/>
          <w:left w:val="none" w:color="000000" w:sz="0" w:space="0"/>
          <w:bottom w:val="none" w:color="000000" w:sz="0" w:space="0"/>
          <w:right w:val="none" w:color="000000" w:sz="0" w:space="0"/>
        </w:pBdr>
        <w:adjustRightInd/>
        <w:snapToGrid/>
        <w:spacing w:line="360" w:lineRule="auto"/>
        <w:ind w:firstLine="442" w:firstLineChars="200"/>
        <w:jc w:val="left"/>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3.4争议解决</w:t>
      </w:r>
    </w:p>
    <w:p w14:paraId="6B76BC96">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评标委员会成员对需要共同认定的事项存在争议的，按照少数服从多数的原则作出结论。持不同意见的评标委员会成员须在评标报告上签署不同意见及理由。</w:t>
      </w:r>
    </w:p>
    <w:p w14:paraId="452DB10A">
      <w:pPr>
        <w:widowControl/>
        <w:pBdr>
          <w:top w:val="none" w:color="000000" w:sz="0" w:space="0"/>
          <w:left w:val="none" w:color="000000" w:sz="0" w:space="0"/>
          <w:bottom w:val="none" w:color="000000" w:sz="0" w:space="0"/>
          <w:right w:val="none" w:color="000000" w:sz="0" w:space="0"/>
        </w:pBdr>
        <w:adjustRightInd/>
        <w:snapToGrid/>
        <w:spacing w:line="360" w:lineRule="auto"/>
        <w:ind w:firstLine="442" w:firstLineChars="200"/>
        <w:jc w:val="left"/>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3.5评标终止</w:t>
      </w:r>
    </w:p>
    <w:p w14:paraId="04EDB1D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评标委员会发现招标文件存在歧义、重大缺陷导致评标工作无法进行，或者招标文件内容违反国家有关强制性规定的，应当停止评标工作，与采购人或者采购代理机构沟通并作书面记录。采购人确认后，终止评标活动。</w:t>
      </w:r>
    </w:p>
    <w:p w14:paraId="2DCD2DF9">
      <w:pPr>
        <w:widowControl/>
        <w:pBdr>
          <w:top w:val="none" w:color="000000" w:sz="0" w:space="0"/>
          <w:left w:val="none" w:color="000000" w:sz="0" w:space="0"/>
          <w:bottom w:val="none" w:color="000000" w:sz="0" w:space="0"/>
          <w:right w:val="none" w:color="000000" w:sz="0" w:space="0"/>
        </w:pBdr>
        <w:adjustRightInd/>
        <w:snapToGrid/>
        <w:spacing w:line="360" w:lineRule="auto"/>
        <w:ind w:firstLine="442" w:firstLineChars="200"/>
        <w:jc w:val="left"/>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3.6修改评标结果</w:t>
      </w:r>
    </w:p>
    <w:p w14:paraId="3369764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评审组长负责汇总和核对各评标委员会成员的评审结果。在评标报告签署前，出现下列情形之一的，可以要求其当场修改评审结果：</w:t>
      </w:r>
    </w:p>
    <w:p w14:paraId="6FEAA2C8">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r>
        <w:rPr>
          <w:rFonts w:ascii="宋体" w:hAnsi="宋体" w:cs="宋体"/>
          <w:color w:val="000000" w:themeColor="text1"/>
          <w:sz w:val="22"/>
          <w:szCs w:val="22"/>
          <w:highlight w:val="none"/>
          <w14:textFill>
            <w14:solidFill>
              <w14:schemeClr w14:val="tx1"/>
            </w14:solidFill>
          </w14:textFill>
        </w:rPr>
        <w:t>1</w:t>
      </w:r>
      <w:r>
        <w:rPr>
          <w:rFonts w:hint="eastAsia" w:ascii="宋体" w:hAnsi="宋体" w:cs="宋体"/>
          <w:color w:val="000000" w:themeColor="text1"/>
          <w:sz w:val="22"/>
          <w:szCs w:val="22"/>
          <w:highlight w:val="none"/>
          <w14:textFill>
            <w14:solidFill>
              <w14:schemeClr w14:val="tx1"/>
            </w14:solidFill>
          </w14:textFill>
        </w:rPr>
        <w:t>）分值汇总计算错误；</w:t>
      </w:r>
    </w:p>
    <w:p w14:paraId="1773C693">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r>
        <w:rPr>
          <w:rFonts w:ascii="宋体" w:hAnsi="宋体" w:cs="宋体"/>
          <w:color w:val="000000" w:themeColor="text1"/>
          <w:sz w:val="22"/>
          <w:szCs w:val="22"/>
          <w:highlight w:val="none"/>
          <w14:textFill>
            <w14:solidFill>
              <w14:schemeClr w14:val="tx1"/>
            </w14:solidFill>
          </w14:textFill>
        </w:rPr>
        <w:t>2</w:t>
      </w:r>
      <w:r>
        <w:rPr>
          <w:rFonts w:hint="eastAsia" w:ascii="宋体" w:hAnsi="宋体" w:cs="宋体"/>
          <w:color w:val="000000" w:themeColor="text1"/>
          <w:sz w:val="22"/>
          <w:szCs w:val="22"/>
          <w:highlight w:val="none"/>
          <w14:textFill>
            <w14:solidFill>
              <w14:schemeClr w14:val="tx1"/>
            </w14:solidFill>
          </w14:textFill>
        </w:rPr>
        <w:t>）分项评分超出评分标准范围；</w:t>
      </w:r>
    </w:p>
    <w:p w14:paraId="4F95A8E1">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r>
        <w:rPr>
          <w:rFonts w:ascii="宋体" w:hAnsi="宋体" w:cs="宋体"/>
          <w:color w:val="000000" w:themeColor="text1"/>
          <w:sz w:val="22"/>
          <w:szCs w:val="22"/>
          <w:highlight w:val="none"/>
          <w14:textFill>
            <w14:solidFill>
              <w14:schemeClr w14:val="tx1"/>
            </w14:solidFill>
          </w14:textFill>
        </w:rPr>
        <w:t>3</w:t>
      </w:r>
      <w:r>
        <w:rPr>
          <w:rFonts w:hint="eastAsia" w:ascii="宋体" w:hAnsi="宋体" w:cs="宋体"/>
          <w:color w:val="000000" w:themeColor="text1"/>
          <w:sz w:val="22"/>
          <w:szCs w:val="22"/>
          <w:highlight w:val="none"/>
          <w14:textFill>
            <w14:solidFill>
              <w14:schemeClr w14:val="tx1"/>
            </w14:solidFill>
          </w14:textFill>
        </w:rPr>
        <w:t>）评标委员会成员对客观评审因素评分不一致；</w:t>
      </w:r>
    </w:p>
    <w:p w14:paraId="3B7C916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r>
        <w:rPr>
          <w:rFonts w:ascii="宋体" w:hAnsi="宋体" w:cs="宋体"/>
          <w:color w:val="000000" w:themeColor="text1"/>
          <w:sz w:val="22"/>
          <w:szCs w:val="22"/>
          <w:highlight w:val="none"/>
          <w14:textFill>
            <w14:solidFill>
              <w14:schemeClr w14:val="tx1"/>
            </w14:solidFill>
          </w14:textFill>
        </w:rPr>
        <w:t>4</w:t>
      </w:r>
      <w:r>
        <w:rPr>
          <w:rFonts w:hint="eastAsia" w:ascii="宋体" w:hAnsi="宋体" w:cs="宋体"/>
          <w:color w:val="000000" w:themeColor="text1"/>
          <w:sz w:val="22"/>
          <w:szCs w:val="22"/>
          <w:highlight w:val="none"/>
          <w14:textFill>
            <w14:solidFill>
              <w14:schemeClr w14:val="tx1"/>
            </w14:solidFill>
          </w14:textFill>
        </w:rPr>
        <w:t>）经评标委员会认定评分畸高或畸低。</w:t>
      </w:r>
    </w:p>
    <w:p w14:paraId="34E34289">
      <w:pPr>
        <w:widowControl/>
        <w:pBdr>
          <w:top w:val="none" w:color="000000" w:sz="0" w:space="0"/>
          <w:left w:val="none" w:color="000000" w:sz="0" w:space="0"/>
          <w:bottom w:val="none" w:color="000000" w:sz="0" w:space="0"/>
          <w:right w:val="none" w:color="000000" w:sz="0" w:space="0"/>
        </w:pBdr>
        <w:adjustRightInd/>
        <w:snapToGrid/>
        <w:spacing w:line="360" w:lineRule="auto"/>
        <w:ind w:firstLine="442" w:firstLineChars="200"/>
        <w:jc w:val="left"/>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3.7 投标人总分相同</w:t>
      </w:r>
    </w:p>
    <w:p w14:paraId="0D7C5000">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投标人总分相同时，投标总价低的排名优先；如投标总价也相同，由采购人抽签确定排序。</w:t>
      </w:r>
    </w:p>
    <w:p w14:paraId="7515B563">
      <w:pPr>
        <w:widowControl/>
        <w:pBdr>
          <w:top w:val="none" w:color="000000" w:sz="0" w:space="0"/>
          <w:left w:val="none" w:color="000000" w:sz="0" w:space="0"/>
          <w:bottom w:val="none" w:color="000000" w:sz="0" w:space="0"/>
          <w:right w:val="none" w:color="000000" w:sz="0" w:space="0"/>
        </w:pBdr>
        <w:adjustRightInd/>
        <w:snapToGrid/>
        <w:spacing w:line="360" w:lineRule="auto"/>
        <w:ind w:firstLine="442" w:firstLineChars="200"/>
        <w:jc w:val="left"/>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3.8评标报告签署</w:t>
      </w:r>
    </w:p>
    <w:p w14:paraId="5CDC894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p>
    <w:p w14:paraId="138C565F">
      <w:pPr>
        <w:widowControl/>
        <w:pBdr>
          <w:top w:val="none" w:color="000000" w:sz="0" w:space="0"/>
          <w:left w:val="none" w:color="000000" w:sz="0" w:space="0"/>
          <w:bottom w:val="none" w:color="000000" w:sz="0" w:space="0"/>
          <w:right w:val="none" w:color="000000" w:sz="0" w:space="0"/>
        </w:pBdr>
        <w:adjustRightInd/>
        <w:snapToGrid/>
        <w:spacing w:line="360" w:lineRule="auto"/>
        <w:ind w:firstLine="442" w:firstLineChars="200"/>
        <w:jc w:val="left"/>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4.判定无效投标的规定</w:t>
      </w:r>
    </w:p>
    <w:p w14:paraId="09DA369C">
      <w:pPr>
        <w:widowControl/>
        <w:pBdr>
          <w:top w:val="none" w:color="000000" w:sz="0" w:space="0"/>
          <w:left w:val="none" w:color="000000" w:sz="0" w:space="0"/>
          <w:bottom w:val="none" w:color="000000" w:sz="0" w:space="0"/>
          <w:right w:val="none" w:color="000000" w:sz="0" w:space="0"/>
        </w:pBdr>
        <w:adjustRightInd/>
        <w:snapToGrid/>
        <w:spacing w:line="360" w:lineRule="auto"/>
        <w:ind w:firstLine="442" w:firstLineChars="200"/>
        <w:jc w:val="left"/>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4.1开标过程中，有下列情形之一的，作无效投标处理。</w:t>
      </w:r>
    </w:p>
    <w:p w14:paraId="136DA5B6">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（1）投标文件无法解密；</w:t>
      </w:r>
    </w:p>
    <w:p w14:paraId="707B02F1">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（2）投标文件未在规定的时间内解密成功。</w:t>
      </w:r>
    </w:p>
    <w:p w14:paraId="3A2CD0DC">
      <w:pPr>
        <w:widowControl/>
        <w:pBdr>
          <w:top w:val="none" w:color="000000" w:sz="0" w:space="0"/>
          <w:left w:val="none" w:color="000000" w:sz="0" w:space="0"/>
          <w:bottom w:val="none" w:color="000000" w:sz="0" w:space="0"/>
          <w:right w:val="none" w:color="000000" w:sz="0" w:space="0"/>
        </w:pBdr>
        <w:adjustRightInd/>
        <w:snapToGrid/>
        <w:spacing w:line="360" w:lineRule="auto"/>
        <w:ind w:firstLine="442" w:firstLineChars="200"/>
        <w:jc w:val="left"/>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4.2资格审查过程中，投标文件出现不符合1.2项评审标准之一的，作无效标处理。</w:t>
      </w:r>
    </w:p>
    <w:p w14:paraId="645564C2">
      <w:pPr>
        <w:widowControl/>
        <w:pBdr>
          <w:top w:val="none" w:color="000000" w:sz="0" w:space="0"/>
          <w:left w:val="none" w:color="000000" w:sz="0" w:space="0"/>
          <w:bottom w:val="none" w:color="000000" w:sz="0" w:space="0"/>
          <w:right w:val="none" w:color="000000" w:sz="0" w:space="0"/>
        </w:pBdr>
        <w:adjustRightInd/>
        <w:snapToGrid/>
        <w:spacing w:line="360" w:lineRule="auto"/>
        <w:ind w:firstLine="442" w:firstLineChars="200"/>
        <w:jc w:val="left"/>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4.3评标过程中，有下列情形之一的，作无效投标处理。</w:t>
      </w:r>
    </w:p>
    <w:p w14:paraId="3B074257">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（1）符合性评审时，投标文件出现不符合</w:t>
      </w:r>
      <w:r>
        <w:rPr>
          <w:rFonts w:ascii="宋体" w:hAnsi="宋体" w:cs="宋体"/>
          <w:color w:val="000000" w:themeColor="text1"/>
          <w:sz w:val="22"/>
          <w:szCs w:val="22"/>
          <w:highlight w:val="none"/>
          <w14:textFill>
            <w14:solidFill>
              <w14:schemeClr w14:val="tx1"/>
            </w14:solidFill>
          </w14:textFill>
        </w:rPr>
        <w:t>2.</w:t>
      </w:r>
      <w:r>
        <w:rPr>
          <w:rFonts w:hint="eastAsia" w:ascii="宋体" w:hAnsi="宋体" w:cs="宋体"/>
          <w:color w:val="000000" w:themeColor="text1"/>
          <w:sz w:val="22"/>
          <w:szCs w:val="22"/>
          <w:highlight w:val="none"/>
          <w14:textFill>
            <w14:solidFill>
              <w14:schemeClr w14:val="tx1"/>
            </w14:solidFill>
          </w14:textFill>
        </w:rPr>
        <w:t>2.2项评审标准之一的；</w:t>
      </w:r>
    </w:p>
    <w:p w14:paraId="2088D19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（2）投标人不确认评标委员会提出的投标报价修正意见的；</w:t>
      </w:r>
    </w:p>
    <w:p w14:paraId="3BDE0485">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（3）未按照评标委员会要求提供书面说明及相关证明材料证明其报价合理性的；</w:t>
      </w:r>
    </w:p>
    <w:p w14:paraId="4F603AA8">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（4）投标文件含有采购人不能接受的附加条件的。</w:t>
      </w:r>
    </w:p>
    <w:p w14:paraId="39B71ECA">
      <w:pPr>
        <w:widowControl/>
        <w:pBdr>
          <w:top w:val="none" w:color="000000" w:sz="0" w:space="0"/>
          <w:left w:val="none" w:color="000000" w:sz="0" w:space="0"/>
          <w:bottom w:val="none" w:color="000000" w:sz="0" w:space="0"/>
          <w:right w:val="none" w:color="000000" w:sz="0" w:space="0"/>
        </w:pBdr>
        <w:adjustRightInd/>
        <w:snapToGrid/>
        <w:spacing w:line="360" w:lineRule="auto"/>
        <w:ind w:firstLine="442" w:firstLineChars="200"/>
        <w:jc w:val="left"/>
        <w:rPr>
          <w:rFonts w:hint="eastAsia" w:asciiTheme="minorEastAsia" w:hAnsiTheme="minorEastAsia" w:eastAsiaTheme="minorEastAsia"/>
          <w:b/>
          <w:color w:val="000000" w:themeColor="text1"/>
          <w:sz w:val="32"/>
          <w:szCs w:val="20"/>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4.4法律、法规规定的其他投标无效情形。</w:t>
      </w:r>
      <w:bookmarkEnd w:id="222"/>
      <w:bookmarkEnd w:id="223"/>
      <w:bookmarkEnd w:id="224"/>
      <w:bookmarkEnd w:id="225"/>
      <w:bookmarkEnd w:id="226"/>
      <w:bookmarkEnd w:id="227"/>
      <w:bookmarkEnd w:id="228"/>
      <w:bookmarkEnd w:id="229"/>
      <w:bookmarkEnd w:id="234"/>
      <w:bookmarkStart w:id="235" w:name="_Toc383623741"/>
      <w:bookmarkStart w:id="236" w:name="_Toc383698715"/>
      <w:bookmarkStart w:id="237" w:name="_Toc425871381"/>
      <w:bookmarkStart w:id="238" w:name="_Toc383626062"/>
      <w:bookmarkStart w:id="239" w:name="_Toc390246973"/>
      <w:bookmarkStart w:id="240" w:name="_Toc383679815"/>
      <w:bookmarkStart w:id="241" w:name="_Toc390099086"/>
      <w:bookmarkStart w:id="242" w:name="_Toc390098908"/>
      <w:bookmarkStart w:id="243" w:name="_Toc383624013"/>
      <w:r>
        <w:rPr>
          <w:rFonts w:asciiTheme="minorEastAsia" w:hAnsiTheme="minorEastAsia" w:eastAsiaTheme="minorEastAsia"/>
          <w:b/>
          <w:color w:val="000000" w:themeColor="text1"/>
          <w:highlight w:val="none"/>
          <w14:textFill>
            <w14:solidFill>
              <w14:schemeClr w14:val="tx1"/>
            </w14:solidFill>
          </w14:textFill>
        </w:rPr>
        <w:br w:type="page"/>
      </w:r>
    </w:p>
    <w:bookmarkEnd w:id="235"/>
    <w:bookmarkEnd w:id="236"/>
    <w:bookmarkEnd w:id="237"/>
    <w:bookmarkEnd w:id="238"/>
    <w:bookmarkEnd w:id="239"/>
    <w:bookmarkEnd w:id="240"/>
    <w:bookmarkEnd w:id="241"/>
    <w:bookmarkEnd w:id="242"/>
    <w:bookmarkEnd w:id="243"/>
    <w:p w14:paraId="41250A78">
      <w:pPr>
        <w:pStyle w:val="18"/>
        <w:ind w:firstLine="56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第四章</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合同</w:t>
      </w:r>
      <w:r>
        <w:rPr>
          <w:color w:val="000000" w:themeColor="text1"/>
          <w:highlight w:val="none"/>
          <w14:textFill>
            <w14:solidFill>
              <w14:schemeClr w14:val="tx1"/>
            </w14:solidFill>
          </w14:textFill>
        </w:rPr>
        <w:t>条款</w:t>
      </w:r>
    </w:p>
    <w:p w14:paraId="450F6453">
      <w:pPr>
        <w:pStyle w:val="18"/>
        <w:ind w:firstLine="569"/>
        <w:rPr>
          <w:rFonts w:hint="eastAsia"/>
          <w:color w:val="000000" w:themeColor="text1"/>
          <w:highlight w:val="none"/>
          <w14:textFill>
            <w14:solidFill>
              <w14:schemeClr w14:val="tx1"/>
            </w14:solidFill>
          </w14:textFill>
        </w:rPr>
      </w:pPr>
    </w:p>
    <w:p w14:paraId="7A88AFF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采购人：</w:t>
      </w:r>
      <w:r>
        <w:rPr>
          <w:rFonts w:hint="eastAsia" w:ascii="宋体" w:hAnsi="宋体" w:cs="宋体"/>
          <w:color w:val="000000" w:themeColor="text1"/>
          <w:sz w:val="22"/>
          <w:szCs w:val="22"/>
          <w:highlight w:val="none"/>
          <w:u w:val="single"/>
          <w14:textFill>
            <w14:solidFill>
              <w14:schemeClr w14:val="tx1"/>
            </w14:solidFill>
          </w14:textFill>
        </w:rPr>
        <w:t xml:space="preserve">                   </w:t>
      </w:r>
      <w:r>
        <w:rPr>
          <w:rFonts w:hint="eastAsia" w:ascii="宋体" w:hAnsi="宋体" w:cs="宋体"/>
          <w:color w:val="000000" w:themeColor="text1"/>
          <w:sz w:val="22"/>
          <w:szCs w:val="22"/>
          <w:highlight w:val="none"/>
          <w14:textFill>
            <w14:solidFill>
              <w14:schemeClr w14:val="tx1"/>
            </w14:solidFill>
          </w14:textFill>
        </w:rPr>
        <w:t>（以下称甲方）</w:t>
      </w:r>
    </w:p>
    <w:p w14:paraId="68D3CBE8">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供应商：</w:t>
      </w:r>
      <w:r>
        <w:rPr>
          <w:rFonts w:hint="eastAsia" w:ascii="宋体" w:hAnsi="宋体" w:cs="宋体"/>
          <w:color w:val="000000" w:themeColor="text1"/>
          <w:sz w:val="22"/>
          <w:szCs w:val="22"/>
          <w:highlight w:val="none"/>
          <w:u w:val="single"/>
          <w14:textFill>
            <w14:solidFill>
              <w14:schemeClr w14:val="tx1"/>
            </w14:solidFill>
          </w14:textFill>
        </w:rPr>
        <w:t xml:space="preserve">                   </w:t>
      </w:r>
      <w:r>
        <w:rPr>
          <w:rFonts w:hint="eastAsia" w:ascii="宋体" w:hAnsi="宋体" w:cs="宋体"/>
          <w:color w:val="000000" w:themeColor="text1"/>
          <w:sz w:val="22"/>
          <w:szCs w:val="22"/>
          <w:highlight w:val="none"/>
          <w14:textFill>
            <w14:solidFill>
              <w14:schemeClr w14:val="tx1"/>
            </w14:solidFill>
          </w14:textFill>
        </w:rPr>
        <w:t>（以下称乙方）</w:t>
      </w:r>
    </w:p>
    <w:p w14:paraId="20426537">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甲乙双方根据</w:t>
      </w:r>
      <w:r>
        <w:rPr>
          <w:rFonts w:hint="eastAsia" w:ascii="宋体" w:hAnsi="宋体" w:cs="宋体"/>
          <w:color w:val="000000" w:themeColor="text1"/>
          <w:sz w:val="22"/>
          <w:szCs w:val="22"/>
          <w:highlight w:val="none"/>
          <w:u w:val="single"/>
          <w14:textFill>
            <w14:solidFill>
              <w14:schemeClr w14:val="tx1"/>
            </w14:solidFill>
          </w14:textFill>
        </w:rPr>
        <w:t xml:space="preserve">                       </w:t>
      </w:r>
      <w:r>
        <w:rPr>
          <w:rFonts w:hint="eastAsia" w:ascii="宋体" w:hAnsi="宋体" w:cs="宋体"/>
          <w:color w:val="000000" w:themeColor="text1"/>
          <w:sz w:val="22"/>
          <w:szCs w:val="22"/>
          <w:highlight w:val="none"/>
          <w14:textFill>
            <w14:solidFill>
              <w14:schemeClr w14:val="tx1"/>
            </w14:solidFill>
          </w14:textFill>
        </w:rPr>
        <w:t>采购结果及招标文件的要求，经协商一致，达成如下采购服务合同：</w:t>
      </w:r>
    </w:p>
    <w:p w14:paraId="2E31B1F8">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30"/>
          <w:highlight w:val="none"/>
          <w14:textFill>
            <w14:solidFill>
              <w14:schemeClr w14:val="tx1"/>
            </w14:solidFill>
          </w14:textFill>
        </w:rPr>
      </w:pPr>
      <w:r>
        <w:rPr>
          <w:rFonts w:hint="eastAsia" w:ascii="宋体" w:hAnsi="宋体" w:cs="宋体"/>
          <w:b/>
          <w:color w:val="000000" w:themeColor="text1"/>
          <w:szCs w:val="30"/>
          <w:highlight w:val="none"/>
          <w14:textFill>
            <w14:solidFill>
              <w14:schemeClr w14:val="tx1"/>
            </w14:solidFill>
          </w14:textFill>
        </w:rPr>
        <w:t>第一条 合同标的</w:t>
      </w:r>
    </w:p>
    <w:p w14:paraId="5FBB21B9">
      <w:pPr>
        <w:pStyle w:val="2"/>
        <w:rPr>
          <w:rFonts w:hint="eastAsia"/>
          <w:color w:val="000000" w:themeColor="text1"/>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包括9套电极法微型水质自动监测站和3套国标法微型水质自动监测站</w:t>
      </w:r>
      <w:r>
        <w:rPr>
          <w:rFonts w:hint="eastAsia" w:ascii="宋体" w:hAnsi="宋体" w:cs="宋体"/>
          <w:color w:val="000000" w:themeColor="text1"/>
          <w:szCs w:val="22"/>
          <w:highlight w:val="none"/>
          <w:lang w:val="en-US" w:eastAsia="zh-CN"/>
          <w14:textFill>
            <w14:solidFill>
              <w14:schemeClr w14:val="tx1"/>
            </w14:solidFill>
          </w14:textFill>
        </w:rPr>
        <w:t>2年</w:t>
      </w:r>
      <w:r>
        <w:rPr>
          <w:rFonts w:hint="eastAsia" w:ascii="宋体" w:hAnsi="宋体" w:cs="宋体"/>
          <w:color w:val="000000" w:themeColor="text1"/>
          <w:szCs w:val="22"/>
          <w:highlight w:val="none"/>
          <w14:textFill>
            <w14:solidFill>
              <w14:schemeClr w14:val="tx1"/>
            </w14:solidFill>
          </w14:textFill>
        </w:rPr>
        <w:t>运行维护、1个微型水质自动监测站建设及</w:t>
      </w:r>
      <w:r>
        <w:rPr>
          <w:rFonts w:hint="eastAsia" w:ascii="宋体" w:hAnsi="宋体" w:cs="宋体"/>
          <w:color w:val="000000" w:themeColor="text1"/>
          <w:szCs w:val="22"/>
          <w:highlight w:val="none"/>
          <w:lang w:val="en-US" w:eastAsia="zh-CN"/>
          <w14:textFill>
            <w14:solidFill>
              <w14:schemeClr w14:val="tx1"/>
            </w14:solidFill>
          </w14:textFill>
        </w:rPr>
        <w:t>2年</w:t>
      </w:r>
      <w:r>
        <w:rPr>
          <w:rFonts w:hint="eastAsia" w:ascii="宋体" w:hAnsi="宋体" w:cs="宋体"/>
          <w:color w:val="000000" w:themeColor="text1"/>
          <w:szCs w:val="22"/>
          <w:highlight w:val="none"/>
          <w14:textFill>
            <w14:solidFill>
              <w14:schemeClr w14:val="tx1"/>
            </w14:solidFill>
          </w14:textFill>
        </w:rPr>
        <w:t>运行维护</w:t>
      </w:r>
    </w:p>
    <w:p w14:paraId="68F81B1A">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30"/>
          <w:highlight w:val="none"/>
          <w14:textFill>
            <w14:solidFill>
              <w14:schemeClr w14:val="tx1"/>
            </w14:solidFill>
          </w14:textFill>
        </w:rPr>
      </w:pPr>
      <w:r>
        <w:rPr>
          <w:rFonts w:hint="eastAsia" w:ascii="宋体" w:hAnsi="宋体" w:cs="宋体"/>
          <w:b/>
          <w:color w:val="000000" w:themeColor="text1"/>
          <w:szCs w:val="30"/>
          <w:highlight w:val="none"/>
          <w14:textFill>
            <w14:solidFill>
              <w14:schemeClr w14:val="tx1"/>
            </w14:solidFill>
          </w14:textFill>
        </w:rPr>
        <w:t>第二条 合同文件</w:t>
      </w:r>
    </w:p>
    <w:p w14:paraId="1134A9D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下列文件是构成本合同不可分割的部分：</w:t>
      </w:r>
    </w:p>
    <w:p w14:paraId="2C65289A">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1.1招标文件及其补充更正公告；</w:t>
      </w:r>
    </w:p>
    <w:p w14:paraId="3FD360F4">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1.2乙方提交的投标文件和在投标过程中所作的其它承诺、声明、书面变更材料等；</w:t>
      </w:r>
    </w:p>
    <w:p w14:paraId="2B3B55A5">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1.3资格证明文件；</w:t>
      </w:r>
    </w:p>
    <w:p w14:paraId="1E516F17">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1.4中标通知书；</w:t>
      </w:r>
    </w:p>
    <w:p w14:paraId="351F7828">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1.5甲乙双方商定的其他必要文件。</w:t>
      </w:r>
    </w:p>
    <w:p w14:paraId="13517638">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30"/>
          <w:highlight w:val="none"/>
          <w14:textFill>
            <w14:solidFill>
              <w14:schemeClr w14:val="tx1"/>
            </w14:solidFill>
          </w14:textFill>
        </w:rPr>
      </w:pPr>
      <w:r>
        <w:rPr>
          <w:rFonts w:hint="eastAsia" w:ascii="宋体" w:hAnsi="宋体" w:cs="宋体"/>
          <w:b/>
          <w:color w:val="000000" w:themeColor="text1"/>
          <w:szCs w:val="30"/>
          <w:highlight w:val="none"/>
          <w14:textFill>
            <w14:solidFill>
              <w14:schemeClr w14:val="tx1"/>
            </w14:solidFill>
          </w14:textFill>
        </w:rPr>
        <w:t>第三条 服务时间</w:t>
      </w:r>
    </w:p>
    <w:p w14:paraId="3730F41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合同服务时间：                             。</w:t>
      </w:r>
    </w:p>
    <w:p w14:paraId="6C112DEF">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30"/>
          <w:highlight w:val="none"/>
          <w14:textFill>
            <w14:solidFill>
              <w14:schemeClr w14:val="tx1"/>
            </w14:solidFill>
          </w14:textFill>
        </w:rPr>
      </w:pPr>
      <w:r>
        <w:rPr>
          <w:rFonts w:hint="eastAsia" w:ascii="宋体" w:hAnsi="宋体" w:cs="宋体"/>
          <w:b/>
          <w:color w:val="000000" w:themeColor="text1"/>
          <w:szCs w:val="30"/>
          <w:highlight w:val="none"/>
          <w14:textFill>
            <w14:solidFill>
              <w14:schemeClr w14:val="tx1"/>
            </w14:solidFill>
          </w14:textFill>
        </w:rPr>
        <w:t>第四条 履约保证金</w:t>
      </w:r>
    </w:p>
    <w:p w14:paraId="6A1C1545">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乙方与甲方签订政府采购合同前，须提交履约保证金，否则视为放弃中标，给甲方造成的损失的，乙方还应当对损失予以赔偿。履约保证金的形式：银行电汇或网上银行支付、保函（保证保险）、支票、汇票、本票或者金融机构、担保机构出具的保函等法律法规允许的形式。</w:t>
      </w:r>
    </w:p>
    <w:p w14:paraId="5268E430">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履约保证金的金额：合同价的5%。</w:t>
      </w:r>
    </w:p>
    <w:p w14:paraId="1D06E366">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退还方式：合同按约履行结束后且乙方无须承担违约责任后退还。</w:t>
      </w:r>
    </w:p>
    <w:p w14:paraId="2C4E915A">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如乙方需承担违约责任或赔偿甲方损失，甲方可从履约保证金中优先扣除。</w:t>
      </w:r>
    </w:p>
    <w:p w14:paraId="5D2B069B">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30"/>
          <w:highlight w:val="none"/>
          <w14:textFill>
            <w14:solidFill>
              <w14:schemeClr w14:val="tx1"/>
            </w14:solidFill>
          </w14:textFill>
        </w:rPr>
      </w:pPr>
      <w:r>
        <w:rPr>
          <w:rFonts w:hint="eastAsia" w:ascii="宋体" w:hAnsi="宋体" w:cs="宋体"/>
          <w:b/>
          <w:color w:val="000000" w:themeColor="text1"/>
          <w:szCs w:val="30"/>
          <w:highlight w:val="none"/>
          <w14:textFill>
            <w14:solidFill>
              <w14:schemeClr w14:val="tx1"/>
            </w14:solidFill>
          </w14:textFill>
        </w:rPr>
        <w:t>第五条 乙方承诺达到的质量标准和要求</w:t>
      </w:r>
    </w:p>
    <w:p w14:paraId="56A94B23">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乙方承诺按照《招标文件》中规定的质量标准和要求执行。</w:t>
      </w:r>
    </w:p>
    <w:p w14:paraId="37B46DF5">
      <w:pPr>
        <w:widowControl/>
        <w:numPr>
          <w:ilvl w:val="0"/>
          <w:numId w:val="2"/>
        </w:numPr>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color w:val="000000" w:themeColor="text1"/>
          <w:highlight w:val="none"/>
          <w14:textFill>
            <w14:solidFill>
              <w14:schemeClr w14:val="tx1"/>
            </w14:solidFill>
          </w14:textFill>
        </w:rPr>
      </w:pPr>
      <w:r>
        <w:rPr>
          <w:rFonts w:hint="eastAsia" w:ascii="宋体" w:hAnsi="宋体" w:cs="宋体"/>
          <w:b/>
          <w:color w:val="000000" w:themeColor="text1"/>
          <w:szCs w:val="30"/>
          <w:highlight w:val="none"/>
          <w14:textFill>
            <w14:solidFill>
              <w14:schemeClr w14:val="tx1"/>
            </w14:solidFill>
          </w14:textFill>
        </w:rPr>
        <w:t>双方权利与义务</w:t>
      </w:r>
    </w:p>
    <w:p w14:paraId="1FEB2D97">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1、乙方未按照招投标文件要求提供货物、服务或者违背本合同条款的视为违约，应向甲方支付合同总价10%的违约金；</w:t>
      </w:r>
    </w:p>
    <w:p w14:paraId="1C40CEA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2、甲方对乙方提供的货物、服务工作给予支持和配合，同时协助乙方做好工作质量考核评定，推动工作。</w:t>
      </w:r>
    </w:p>
    <w:p w14:paraId="7D458DFF">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甲方有权对乙方提供的货物、服务、合同内容的履行情况进行监督检查。对发现的问题，乙方应及时整改，整改后仍不符甲方要求的，甲方可解除合同并要求乙方退还已支付的费用，承担合同总价10%的违约金。</w:t>
      </w:r>
    </w:p>
    <w:p w14:paraId="706576F4">
      <w:pPr>
        <w:spacing w:line="360" w:lineRule="auto"/>
        <w:ind w:firstLine="440" w:firstLineChars="20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w:t>
      </w:r>
      <w:r>
        <w:rPr>
          <w:rFonts w:hint="eastAsia" w:ascii="宋体" w:hAnsi="宋体" w:cs="宋体"/>
          <w:color w:val="000000" w:themeColor="text1"/>
          <w:highlight w:val="none"/>
          <w14:textFill>
            <w14:solidFill>
              <w14:schemeClr w14:val="tx1"/>
            </w14:solidFill>
          </w14:textFill>
        </w:rPr>
        <w:t>甲方有权对乙方进行</w:t>
      </w:r>
      <w:r>
        <w:rPr>
          <w:rFonts w:hint="eastAsia" w:ascii="宋体" w:hAnsi="等线"/>
          <w:color w:val="000000" w:themeColor="text1"/>
          <w:szCs w:val="22"/>
          <w:highlight w:val="none"/>
          <w14:textFill>
            <w14:solidFill>
              <w14:schemeClr w14:val="tx1"/>
            </w14:solidFill>
          </w14:textFill>
        </w:rPr>
        <w:t>运维服务质量考核（附件一），并根据考核要求扣除相关用</w:t>
      </w:r>
      <w:r>
        <w:rPr>
          <w:rFonts w:hint="eastAsia" w:ascii="宋体" w:hAnsi="宋体" w:cs="宋体"/>
          <w:color w:val="000000" w:themeColor="text1"/>
          <w:highlight w:val="none"/>
          <w14:textFill>
            <w14:solidFill>
              <w14:schemeClr w14:val="tx1"/>
            </w14:solidFill>
          </w14:textFill>
        </w:rPr>
        <w:t>。</w:t>
      </w:r>
    </w:p>
    <w:p w14:paraId="099B231E">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30"/>
          <w:highlight w:val="none"/>
          <w14:textFill>
            <w14:solidFill>
              <w14:schemeClr w14:val="tx1"/>
            </w14:solidFill>
          </w14:textFill>
        </w:rPr>
      </w:pPr>
      <w:r>
        <w:rPr>
          <w:rFonts w:hint="eastAsia" w:ascii="宋体" w:hAnsi="宋体" w:cs="宋体"/>
          <w:b/>
          <w:color w:val="000000" w:themeColor="text1"/>
          <w:szCs w:val="30"/>
          <w:highlight w:val="none"/>
          <w14:textFill>
            <w14:solidFill>
              <w14:schemeClr w14:val="tx1"/>
            </w14:solidFill>
          </w14:textFill>
        </w:rPr>
        <w:t>第七条 费用标准</w:t>
      </w:r>
    </w:p>
    <w:p w14:paraId="1F9ED9CB">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1、合同总价为：</w:t>
      </w:r>
      <w:r>
        <w:rPr>
          <w:rFonts w:hint="eastAsia" w:ascii="宋体" w:hAnsi="宋体" w:cs="宋体"/>
          <w:color w:val="000000" w:themeColor="text1"/>
          <w:sz w:val="22"/>
          <w:szCs w:val="22"/>
          <w:highlight w:val="none"/>
          <w:u w:val="single"/>
          <w14:textFill>
            <w14:solidFill>
              <w14:schemeClr w14:val="tx1"/>
            </w14:solidFill>
          </w14:textFill>
        </w:rPr>
        <w:t xml:space="preserve">         </w:t>
      </w:r>
      <w:r>
        <w:rPr>
          <w:rFonts w:hint="eastAsia" w:ascii="宋体" w:hAnsi="宋体" w:cs="宋体"/>
          <w:color w:val="000000" w:themeColor="text1"/>
          <w:sz w:val="22"/>
          <w:szCs w:val="22"/>
          <w:highlight w:val="none"/>
          <w14:textFill>
            <w14:solidFill>
              <w14:schemeClr w14:val="tx1"/>
            </w14:solidFill>
          </w14:textFill>
        </w:rPr>
        <w:t>。</w:t>
      </w:r>
    </w:p>
    <w:p w14:paraId="2C15F473">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其中：</w:t>
      </w:r>
    </w:p>
    <w:p w14:paraId="614F9FF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①、3套小型水质监测站2年运维服务费</w:t>
      </w:r>
      <w:r>
        <w:rPr>
          <w:rFonts w:hint="eastAsia" w:ascii="宋体" w:hAnsi="宋体" w:cs="宋体"/>
          <w:color w:val="000000" w:themeColor="text1"/>
          <w:sz w:val="22"/>
          <w:szCs w:val="22"/>
          <w:highlight w:val="none"/>
          <w:u w:val="single"/>
          <w14:textFill>
            <w14:solidFill>
              <w14:schemeClr w14:val="tx1"/>
            </w14:solidFill>
          </w14:textFill>
        </w:rPr>
        <w:t xml:space="preserve">                </w:t>
      </w:r>
      <w:r>
        <w:rPr>
          <w:rFonts w:hint="eastAsia" w:ascii="宋体" w:hAnsi="宋体" w:cs="宋体"/>
          <w:color w:val="000000" w:themeColor="text1"/>
          <w:sz w:val="22"/>
          <w:szCs w:val="22"/>
          <w:highlight w:val="none"/>
          <w14:textFill>
            <w14:solidFill>
              <w14:schemeClr w14:val="tx1"/>
            </w14:solidFill>
          </w14:textFill>
        </w:rPr>
        <w:t>；</w:t>
      </w:r>
    </w:p>
    <w:p w14:paraId="46B9A04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②、9套已建微型水质监测站运维服务</w:t>
      </w:r>
      <w:r>
        <w:rPr>
          <w:rFonts w:hint="eastAsia" w:ascii="宋体" w:hAnsi="宋体" w:cs="宋体"/>
          <w:color w:val="000000" w:themeColor="text1"/>
          <w:sz w:val="22"/>
          <w:szCs w:val="22"/>
          <w:highlight w:val="none"/>
          <w:u w:val="single"/>
          <w14:textFill>
            <w14:solidFill>
              <w14:schemeClr w14:val="tx1"/>
            </w14:solidFill>
          </w14:textFill>
        </w:rPr>
        <w:t xml:space="preserve">              </w:t>
      </w:r>
      <w:r>
        <w:rPr>
          <w:rFonts w:hint="eastAsia" w:ascii="宋体" w:hAnsi="宋体" w:cs="宋体"/>
          <w:color w:val="000000" w:themeColor="text1"/>
          <w:sz w:val="22"/>
          <w:szCs w:val="22"/>
          <w:highlight w:val="none"/>
          <w14:textFill>
            <w14:solidFill>
              <w14:schemeClr w14:val="tx1"/>
            </w14:solidFill>
          </w14:textFill>
        </w:rPr>
        <w:t>；</w:t>
      </w:r>
    </w:p>
    <w:p w14:paraId="5A47795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③、1套微型水质监测站建设费</w:t>
      </w:r>
      <w:r>
        <w:rPr>
          <w:rFonts w:hint="eastAsia" w:ascii="宋体" w:hAnsi="宋体" w:cs="宋体"/>
          <w:color w:val="000000" w:themeColor="text1"/>
          <w:sz w:val="22"/>
          <w:szCs w:val="22"/>
          <w:highlight w:val="none"/>
          <w:u w:val="single"/>
          <w14:textFill>
            <w14:solidFill>
              <w14:schemeClr w14:val="tx1"/>
            </w14:solidFill>
          </w14:textFill>
        </w:rPr>
        <w:t xml:space="preserve">               </w:t>
      </w:r>
      <w:r>
        <w:rPr>
          <w:rFonts w:hint="eastAsia" w:ascii="宋体" w:hAnsi="宋体" w:cs="宋体"/>
          <w:color w:val="000000" w:themeColor="text1"/>
          <w:sz w:val="22"/>
          <w:szCs w:val="22"/>
          <w:highlight w:val="none"/>
          <w14:textFill>
            <w14:solidFill>
              <w14:schemeClr w14:val="tx1"/>
            </w14:solidFill>
          </w14:textFill>
        </w:rPr>
        <w:t>。</w:t>
      </w:r>
    </w:p>
    <w:p w14:paraId="03062658">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④、1套微型水质监测站运维服务费</w:t>
      </w:r>
      <w:r>
        <w:rPr>
          <w:rFonts w:hint="eastAsia" w:ascii="宋体" w:hAnsi="宋体" w:cs="宋体"/>
          <w:color w:val="000000" w:themeColor="text1"/>
          <w:sz w:val="22"/>
          <w:szCs w:val="22"/>
          <w:highlight w:val="none"/>
          <w:u w:val="single"/>
          <w14:textFill>
            <w14:solidFill>
              <w14:schemeClr w14:val="tx1"/>
            </w14:solidFill>
          </w14:textFill>
        </w:rPr>
        <w:t xml:space="preserve">              </w:t>
      </w:r>
      <w:r>
        <w:rPr>
          <w:rFonts w:hint="eastAsia" w:ascii="宋体" w:hAnsi="宋体" w:cs="宋体"/>
          <w:color w:val="000000" w:themeColor="text1"/>
          <w:sz w:val="22"/>
          <w:szCs w:val="22"/>
          <w:highlight w:val="none"/>
          <w14:textFill>
            <w14:solidFill>
              <w14:schemeClr w14:val="tx1"/>
            </w14:solidFill>
          </w14:textFill>
        </w:rPr>
        <w:t>。</w:t>
      </w:r>
    </w:p>
    <w:p w14:paraId="1DF9B27F">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lang w:val="zh-CN"/>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服务确认方式</w:t>
      </w:r>
      <w:r>
        <w:rPr>
          <w:rFonts w:hint="eastAsia" w:ascii="宋体" w:hAnsi="宋体" w:cs="宋体"/>
          <w:color w:val="000000" w:themeColor="text1"/>
          <w:sz w:val="22"/>
          <w:szCs w:val="22"/>
          <w:highlight w:val="none"/>
          <w:lang w:val="zh-CN"/>
          <w14:textFill>
            <w14:solidFill>
              <w14:schemeClr w14:val="tx1"/>
            </w14:solidFill>
          </w14:textFill>
        </w:rPr>
        <w:t>：</w:t>
      </w:r>
    </w:p>
    <w:p w14:paraId="0F417248">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①、1</w:t>
      </w:r>
      <w:r>
        <w:rPr>
          <w:rFonts w:hint="eastAsia" w:ascii="宋体" w:hAnsi="宋体" w:cs="宋体"/>
          <w:color w:val="000000" w:themeColor="text1"/>
          <w:sz w:val="22"/>
          <w:szCs w:val="22"/>
          <w:highlight w:val="none"/>
          <w:lang w:val="zh-CN"/>
          <w14:textFill>
            <w14:solidFill>
              <w14:schemeClr w14:val="tx1"/>
            </w14:solidFill>
          </w14:textFill>
        </w:rPr>
        <w:t>套小型水质监测站采购</w:t>
      </w:r>
      <w:r>
        <w:rPr>
          <w:rFonts w:hint="eastAsia" w:ascii="宋体" w:hAnsi="宋体" w:cs="宋体"/>
          <w:color w:val="000000" w:themeColor="text1"/>
          <w:sz w:val="22"/>
          <w:szCs w:val="22"/>
          <w:highlight w:val="none"/>
          <w14:textFill>
            <w14:solidFill>
              <w14:schemeClr w14:val="tx1"/>
            </w14:solidFill>
          </w14:textFill>
        </w:rPr>
        <w:t>的交货地点为：</w:t>
      </w:r>
    </w:p>
    <w:p w14:paraId="5CC9EADA">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lang w:val="zh-CN"/>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②、1</w:t>
      </w:r>
      <w:r>
        <w:rPr>
          <w:rFonts w:hint="eastAsia" w:ascii="宋体" w:hAnsi="宋体" w:cs="宋体"/>
          <w:color w:val="000000" w:themeColor="text1"/>
          <w:sz w:val="22"/>
          <w:szCs w:val="22"/>
          <w:highlight w:val="none"/>
          <w:lang w:val="zh-CN"/>
          <w14:textFill>
            <w14:solidFill>
              <w14:schemeClr w14:val="tx1"/>
            </w14:solidFill>
          </w14:textFill>
        </w:rPr>
        <w:t>套小型水质监测站安装工期自合同签订之日起60日历天，质保期为验收合格之日起一年；</w:t>
      </w:r>
    </w:p>
    <w:p w14:paraId="49439DF6">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③、</w:t>
      </w:r>
      <w:r>
        <w:rPr>
          <w:rFonts w:hint="eastAsia" w:ascii="宋体" w:hAnsi="宋体" w:cs="宋体"/>
          <w:color w:val="000000" w:themeColor="text1"/>
          <w:sz w:val="22"/>
          <w:szCs w:val="22"/>
          <w:highlight w:val="none"/>
          <w:lang w:val="zh-CN"/>
          <w14:textFill>
            <w14:solidFill>
              <w14:schemeClr w14:val="tx1"/>
            </w14:solidFill>
          </w14:textFill>
        </w:rPr>
        <w:t>3套小型水质监测站运维服务期自合同签订之日起</w:t>
      </w:r>
      <w:r>
        <w:rPr>
          <w:rFonts w:hint="eastAsia" w:ascii="宋体" w:hAnsi="宋体" w:cs="宋体"/>
          <w:color w:val="000000" w:themeColor="text1"/>
          <w:sz w:val="22"/>
          <w:szCs w:val="22"/>
          <w:highlight w:val="none"/>
          <w14:textFill>
            <w14:solidFill>
              <w14:schemeClr w14:val="tx1"/>
            </w14:solidFill>
          </w14:textFill>
        </w:rPr>
        <w:t>2</w:t>
      </w:r>
      <w:r>
        <w:rPr>
          <w:rFonts w:hint="eastAsia" w:ascii="宋体" w:hAnsi="宋体" w:cs="宋体"/>
          <w:color w:val="000000" w:themeColor="text1"/>
          <w:sz w:val="22"/>
          <w:szCs w:val="22"/>
          <w:highlight w:val="none"/>
          <w:lang w:val="zh-CN"/>
          <w14:textFill>
            <w14:solidFill>
              <w14:schemeClr w14:val="tx1"/>
            </w14:solidFill>
          </w14:textFill>
        </w:rPr>
        <w:t>年</w:t>
      </w:r>
      <w:r>
        <w:rPr>
          <w:rFonts w:hint="eastAsia" w:ascii="宋体" w:hAnsi="宋体" w:cs="宋体"/>
          <w:color w:val="000000" w:themeColor="text1"/>
          <w:sz w:val="22"/>
          <w:szCs w:val="22"/>
          <w:highlight w:val="none"/>
          <w14:textFill>
            <w14:solidFill>
              <w14:schemeClr w14:val="tx1"/>
            </w14:solidFill>
          </w14:textFill>
        </w:rPr>
        <w:t>。</w:t>
      </w:r>
    </w:p>
    <w:p w14:paraId="420FCE5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④、9套已建微型水质监测站运维服务期自</w:t>
      </w:r>
      <w:r>
        <w:rPr>
          <w:rFonts w:hint="eastAsia" w:ascii="宋体" w:hAnsi="宋体" w:cs="宋体"/>
          <w:color w:val="000000" w:themeColor="text1"/>
          <w:sz w:val="22"/>
          <w:szCs w:val="22"/>
          <w:highlight w:val="none"/>
          <w:lang w:val="zh-CN"/>
          <w14:textFill>
            <w14:solidFill>
              <w14:schemeClr w14:val="tx1"/>
            </w14:solidFill>
          </w14:textFill>
        </w:rPr>
        <w:t>合同签订之日起</w:t>
      </w:r>
      <w:r>
        <w:rPr>
          <w:rFonts w:hint="eastAsia" w:ascii="宋体" w:hAnsi="宋体" w:cs="宋体"/>
          <w:color w:val="000000" w:themeColor="text1"/>
          <w:sz w:val="22"/>
          <w:szCs w:val="22"/>
          <w:highlight w:val="none"/>
          <w14:textFill>
            <w14:solidFill>
              <w14:schemeClr w14:val="tx1"/>
            </w14:solidFill>
          </w14:textFill>
        </w:rPr>
        <w:t>2</w:t>
      </w:r>
      <w:r>
        <w:rPr>
          <w:rFonts w:hint="eastAsia" w:ascii="宋体" w:hAnsi="宋体" w:cs="宋体"/>
          <w:color w:val="000000" w:themeColor="text1"/>
          <w:sz w:val="22"/>
          <w:szCs w:val="22"/>
          <w:highlight w:val="none"/>
          <w:lang w:val="zh-CN"/>
          <w14:textFill>
            <w14:solidFill>
              <w14:schemeClr w14:val="tx1"/>
            </w14:solidFill>
          </w14:textFill>
        </w:rPr>
        <w:t>年。</w:t>
      </w:r>
    </w:p>
    <w:p w14:paraId="736CCA7B">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lang w:val="zh-CN"/>
          <w14:textFill>
            <w14:solidFill>
              <w14:schemeClr w14:val="tx1"/>
            </w14:solidFill>
          </w14:textFill>
        </w:rPr>
      </w:pPr>
      <w:r>
        <w:rPr>
          <w:rFonts w:hint="eastAsia" w:ascii="宋体" w:hAnsi="宋体" w:cs="宋体"/>
          <w:color w:val="000000" w:themeColor="text1"/>
          <w:sz w:val="22"/>
          <w:szCs w:val="22"/>
          <w:highlight w:val="none"/>
          <w:lang w:val="zh-CN"/>
          <w14:textFill>
            <w14:solidFill>
              <w14:schemeClr w14:val="tx1"/>
            </w14:solidFill>
          </w14:textFill>
        </w:rPr>
        <w:t>付款方式：</w:t>
      </w:r>
    </w:p>
    <w:p w14:paraId="2FA0C4D3">
      <w:pPr>
        <w:widowControl/>
        <w:pBdr>
          <w:top w:val="none" w:color="auto" w:sz="0" w:space="0"/>
          <w:left w:val="none" w:color="auto" w:sz="0" w:space="0"/>
          <w:bottom w:val="none" w:color="auto" w:sz="0" w:space="0"/>
          <w:right w:val="none" w:color="auto"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（1）9套电极法微型水质自动监测站、3套国标法微型水质自动监测站及1套微型水质监测站运维费用支付：</w:t>
      </w:r>
      <w:r>
        <w:rPr>
          <w:rFonts w:hint="eastAsia" w:ascii="宋体" w:hAnsi="宋体" w:eastAsia="宋体" w:cs="宋体"/>
          <w:color w:val="000000" w:themeColor="text1"/>
          <w:sz w:val="22"/>
          <w:szCs w:val="22"/>
          <w:highlight w:val="none"/>
          <w14:textFill>
            <w14:solidFill>
              <w14:schemeClr w14:val="tx1"/>
            </w14:solidFill>
          </w14:textFill>
        </w:rPr>
        <w:t>分三次支付，合同签订后支付20%</w:t>
      </w:r>
      <w:r>
        <w:rPr>
          <w:rFonts w:hint="eastAsia" w:ascii="宋体" w:hAnsi="宋体" w:cs="宋体"/>
          <w:color w:val="000000" w:themeColor="text1"/>
          <w:sz w:val="22"/>
          <w:szCs w:val="22"/>
          <w:highlight w:val="none"/>
          <w14:textFill>
            <w14:solidFill>
              <w14:schemeClr w14:val="tx1"/>
            </w14:solidFill>
          </w14:textFill>
        </w:rPr>
        <w:t>，</w:t>
      </w:r>
      <w:r>
        <w:rPr>
          <w:rFonts w:hint="eastAsia" w:ascii="宋体" w:hAnsi="宋体" w:eastAsia="宋体" w:cs="宋体"/>
          <w:color w:val="000000" w:themeColor="text1"/>
          <w:sz w:val="22"/>
          <w:szCs w:val="22"/>
          <w:highlight w:val="none"/>
          <w14:textFill>
            <w14:solidFill>
              <w14:schemeClr w14:val="tx1"/>
            </w14:solidFill>
          </w14:textFill>
        </w:rPr>
        <w:t>后续分两年运维考核后支付，每年40%，每年运维到期后，根据考核结果，支付当期运维所得考核评分对应款项。</w:t>
      </w:r>
      <w:r>
        <w:rPr>
          <w:rFonts w:hint="eastAsia" w:ascii="宋体" w:hAnsi="宋体" w:cs="宋体"/>
          <w:color w:val="000000" w:themeColor="text1"/>
          <w:sz w:val="22"/>
          <w:szCs w:val="22"/>
          <w:highlight w:val="none"/>
          <w14:textFill>
            <w14:solidFill>
              <w14:schemeClr w14:val="tx1"/>
            </w14:solidFill>
          </w14:textFill>
        </w:rPr>
        <w:t>（考核标准详见考核评分表）。</w:t>
      </w:r>
    </w:p>
    <w:p w14:paraId="45AB9B1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（2）1套微型水质自动监测站采购建设费用支付：合同签订生效后，全部的设备均需原厂包装免费送至采购单位指定地点且安装调试完毕并通过招标人验收合格后付设备总价</w:t>
      </w:r>
    </w:p>
    <w:p w14:paraId="002A0B2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lang w:val="zh-CN"/>
          <w14:textFill>
            <w14:solidFill>
              <w14:schemeClr w14:val="tx1"/>
            </w14:solidFill>
          </w14:textFill>
        </w:rPr>
      </w:pPr>
      <w:r>
        <w:rPr>
          <w:rFonts w:hint="eastAsia" w:ascii="宋体" w:hAnsi="宋体" w:cs="宋体"/>
          <w:color w:val="000000" w:themeColor="text1"/>
          <w:sz w:val="22"/>
          <w:szCs w:val="22"/>
          <w:highlight w:val="none"/>
          <w:lang w:val="zh-CN"/>
          <w14:textFill>
            <w14:solidFill>
              <w14:schemeClr w14:val="tx1"/>
            </w14:solidFill>
          </w14:textFill>
        </w:rPr>
        <w:t>每次结算时招标人结合水质自动监测站</w:t>
      </w:r>
      <w:r>
        <w:rPr>
          <w:rFonts w:hint="eastAsia" w:ascii="宋体" w:hAnsi="宋体" w:cs="宋体"/>
          <w:color w:val="000000" w:themeColor="text1"/>
          <w:sz w:val="22"/>
          <w:szCs w:val="22"/>
          <w:highlight w:val="none"/>
          <w14:textFill>
            <w14:solidFill>
              <w14:schemeClr w14:val="tx1"/>
            </w14:solidFill>
          </w14:textFill>
        </w:rPr>
        <w:t>考</w:t>
      </w:r>
      <w:r>
        <w:rPr>
          <w:rFonts w:hint="eastAsia" w:ascii="宋体" w:hAnsi="宋体" w:cs="宋体"/>
          <w:color w:val="000000" w:themeColor="text1"/>
          <w:sz w:val="22"/>
          <w:szCs w:val="22"/>
          <w:highlight w:val="none"/>
          <w:lang w:val="zh-CN"/>
          <w14:textFill>
            <w14:solidFill>
              <w14:schemeClr w14:val="tx1"/>
            </w14:solidFill>
          </w14:textFill>
        </w:rPr>
        <w:t>核表打分，供应商须提交对应的有效结算发票；</w:t>
      </w:r>
    </w:p>
    <w:p w14:paraId="0F1CAFB1">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30"/>
          <w:highlight w:val="none"/>
          <w14:textFill>
            <w14:solidFill>
              <w14:schemeClr w14:val="tx1"/>
            </w14:solidFill>
          </w14:textFill>
        </w:rPr>
      </w:pPr>
      <w:r>
        <w:rPr>
          <w:rFonts w:hint="eastAsia" w:ascii="宋体" w:hAnsi="宋体" w:cs="宋体"/>
          <w:b/>
          <w:color w:val="000000" w:themeColor="text1"/>
          <w:szCs w:val="30"/>
          <w:highlight w:val="none"/>
          <w14:textFill>
            <w14:solidFill>
              <w14:schemeClr w14:val="tx1"/>
            </w14:solidFill>
          </w14:textFill>
        </w:rPr>
        <w:t>第八条 验收要求</w:t>
      </w:r>
    </w:p>
    <w:p w14:paraId="5A8CC7FB">
      <w:pPr>
        <w:pStyle w:val="2"/>
        <w:ind w:firstLine="24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1套微型水质自动监测站验收要求如下：</w:t>
      </w:r>
    </w:p>
    <w:p w14:paraId="65E0C83D">
      <w:pPr>
        <w:pStyle w:val="2"/>
        <w:ind w:firstLine="24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1、验收时间及方式</w:t>
      </w:r>
    </w:p>
    <w:p w14:paraId="7B6EC71D">
      <w:pPr>
        <w:pStyle w:val="2"/>
        <w:ind w:firstLine="48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完成1套微型水质自动监测站的供货，所有仪器设备安装调试，并试运行完毕后，由中标方提出验收申请，由采购人组织聘请专家对项目进行整体验收。</w:t>
      </w:r>
    </w:p>
    <w:p w14:paraId="63D9A682">
      <w:pPr>
        <w:pStyle w:val="2"/>
        <w:ind w:firstLine="24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2、验收标准</w:t>
      </w:r>
    </w:p>
    <w:p w14:paraId="2FD5B68C">
      <w:pPr>
        <w:pStyle w:val="2"/>
        <w:ind w:firstLine="24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（1）验收时，完成相关在线设备性能测试、比对和试运行，技术指标满足招投标文件和合同的要求。</w:t>
      </w:r>
    </w:p>
    <w:p w14:paraId="34C8F339">
      <w:pPr>
        <w:pStyle w:val="2"/>
        <w:ind w:firstLine="24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（2）单、证齐全：应有产品合格证（或质量证明）、使用说明、保修证明、发票和其它应具有的单证。</w:t>
      </w:r>
    </w:p>
    <w:p w14:paraId="1C27ADCC">
      <w:pPr>
        <w:pStyle w:val="2"/>
        <w:ind w:firstLine="24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（3）产品所有技术性能规格及参数应符合招投标文件和合同所要求的技术标准及生产厂商公开的宣传资料和生产厂商官方网站宣传内容的标准要求。</w:t>
      </w:r>
    </w:p>
    <w:p w14:paraId="394327A7">
      <w:pPr>
        <w:pStyle w:val="2"/>
        <w:ind w:firstLine="24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（4）产品为全新未使用过的原厂合格正品（包括零部件），表面无划损、无任何缺陷隐患。</w:t>
      </w:r>
    </w:p>
    <w:p w14:paraId="60550284">
      <w:pPr>
        <w:pStyle w:val="2"/>
        <w:ind w:firstLine="24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（5）提供监测仪器的说明书及操作规程。</w:t>
      </w:r>
    </w:p>
    <w:p w14:paraId="384E5B6B">
      <w:pPr>
        <w:pStyle w:val="2"/>
        <w:ind w:firstLine="24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（6）不满足验收标准的，应免费更换产品直至通过验收。</w:t>
      </w:r>
    </w:p>
    <w:p w14:paraId="3115ED11">
      <w:pPr>
        <w:pStyle w:val="2"/>
        <w:ind w:firstLine="24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3、验收费用</w:t>
      </w:r>
    </w:p>
    <w:p w14:paraId="31346CCF">
      <w:pPr>
        <w:pStyle w:val="2"/>
        <w:ind w:firstLine="720" w:firstLineChars="3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本项目设备验收和整体验收所产生的所有费用由中标方承担。</w:t>
      </w:r>
    </w:p>
    <w:p w14:paraId="67FB5B04">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b/>
          <w:color w:val="000000" w:themeColor="text1"/>
          <w:szCs w:val="30"/>
          <w:highlight w:val="none"/>
          <w14:textFill>
            <w14:solidFill>
              <w14:schemeClr w14:val="tx1"/>
            </w14:solidFill>
          </w14:textFill>
        </w:rPr>
        <w:t>第九条 其他补充事项：</w:t>
      </w:r>
      <w:r>
        <w:rPr>
          <w:rFonts w:hint="eastAsia" w:ascii="宋体" w:hAnsi="宋体" w:cs="宋体"/>
          <w:color w:val="000000" w:themeColor="text1"/>
          <w:sz w:val="22"/>
          <w:szCs w:val="22"/>
          <w:highlight w:val="none"/>
          <w14:textFill>
            <w14:solidFill>
              <w14:schemeClr w14:val="tx1"/>
            </w14:solidFill>
          </w14:textFill>
        </w:rPr>
        <w:t>乙方需按照甲方要求，将数据免费接至指定平台，乙方需无条件配合，若乙方不能完成视为违约。</w:t>
      </w:r>
    </w:p>
    <w:p w14:paraId="30DFA5F6">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b/>
          <w:color w:val="000000" w:themeColor="text1"/>
          <w:szCs w:val="30"/>
          <w:highlight w:val="none"/>
          <w14:textFill>
            <w14:solidFill>
              <w14:schemeClr w14:val="tx1"/>
            </w14:solidFill>
          </w14:textFill>
        </w:rPr>
        <w:t>第十条</w:t>
      </w:r>
      <w:r>
        <w:rPr>
          <w:rFonts w:hint="eastAsia" w:ascii="宋体" w:hAnsi="宋体" w:cs="宋体"/>
          <w:color w:val="000000" w:themeColor="text1"/>
          <w:sz w:val="22"/>
          <w:szCs w:val="22"/>
          <w:highlight w:val="none"/>
          <w14:textFill>
            <w14:solidFill>
              <w14:schemeClr w14:val="tx1"/>
            </w14:solidFill>
          </w14:textFill>
        </w:rPr>
        <w:t xml:space="preserve">  因本合同引起的纠纷，双方可协商解决，协商不成，可向泰兴市人民法院提起诉讼。</w:t>
      </w:r>
    </w:p>
    <w:p w14:paraId="0EEE99C0">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color w:val="000000" w:themeColor="text1"/>
          <w:szCs w:val="30"/>
          <w:highlight w:val="none"/>
          <w14:textFill>
            <w14:solidFill>
              <w14:schemeClr w14:val="tx1"/>
            </w14:solidFill>
          </w14:textFill>
        </w:rPr>
      </w:pPr>
      <w:r>
        <w:rPr>
          <w:rFonts w:hint="eastAsia" w:ascii="宋体" w:hAnsi="宋体" w:cs="宋体"/>
          <w:b/>
          <w:color w:val="000000" w:themeColor="text1"/>
          <w:szCs w:val="30"/>
          <w:highlight w:val="none"/>
          <w14:textFill>
            <w14:solidFill>
              <w14:schemeClr w14:val="tx1"/>
            </w14:solidFill>
          </w14:textFill>
        </w:rPr>
        <w:t>第十一条  本合同一式肆份，双方各执贰份，经双方签章后生效。</w:t>
      </w:r>
    </w:p>
    <w:p w14:paraId="728D03E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p>
    <w:p w14:paraId="26DAEA97">
      <w:pPr>
        <w:widowControl/>
        <w:pBdr>
          <w:top w:val="none" w:color="000000" w:sz="0" w:space="0"/>
          <w:left w:val="none" w:color="000000" w:sz="0" w:space="0"/>
          <w:bottom w:val="none" w:color="000000" w:sz="0" w:space="0"/>
          <w:right w:val="none" w:color="000000" w:sz="0" w:space="0"/>
        </w:pBdr>
        <w:adjustRightInd/>
        <w:snapToGrid/>
        <w:spacing w:line="360" w:lineRule="auto"/>
        <w:ind w:firstLine="0" w:firstLineChars="0"/>
        <w:jc w:val="left"/>
        <w:rPr>
          <w:rFonts w:hint="eastAsia" w:ascii="宋体" w:hAnsi="宋体" w:cs="宋体"/>
          <w:color w:val="000000" w:themeColor="text1"/>
          <w:sz w:val="22"/>
          <w:szCs w:val="22"/>
          <w:highlight w:val="none"/>
          <w14:textFill>
            <w14:solidFill>
              <w14:schemeClr w14:val="tx1"/>
            </w14:solidFill>
          </w14:textFill>
        </w:rPr>
      </w:pPr>
    </w:p>
    <w:p w14:paraId="37667581">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甲  方（签章）：                                    乙  方（签章）：</w:t>
      </w:r>
    </w:p>
    <w:p w14:paraId="70B696C0">
      <w:pPr>
        <w:pStyle w:val="2"/>
        <w:ind w:firstLine="240"/>
        <w:rPr>
          <w:color w:val="000000" w:themeColor="text1"/>
          <w:highlight w:val="none"/>
          <w14:textFill>
            <w14:solidFill>
              <w14:schemeClr w14:val="tx1"/>
            </w14:solidFill>
          </w14:textFill>
        </w:rPr>
      </w:pPr>
    </w:p>
    <w:p w14:paraId="27C22921">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经 办 人：                                          经 办 人：</w:t>
      </w:r>
    </w:p>
    <w:p w14:paraId="5EB0A7AF">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p>
    <w:p w14:paraId="3A1DD677">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                                              2025年     月     日</w:t>
      </w:r>
    </w:p>
    <w:p w14:paraId="25B970AB">
      <w:pPr>
        <w:pStyle w:val="6"/>
        <w:ind w:firstLine="391"/>
        <w:jc w:val="left"/>
        <w:rPr>
          <w:rFonts w:hint="eastAsia" w:ascii="宋体" w:hAnsi="宋体" w:eastAsia="宋体" w:cs="宋体"/>
          <w:color w:val="000000" w:themeColor="text1"/>
          <w:sz w:val="22"/>
          <w:szCs w:val="22"/>
          <w:highlight w:val="none"/>
          <w14:textFill>
            <w14:solidFill>
              <w14:schemeClr w14:val="tx1"/>
            </w14:solidFill>
          </w14:textFill>
        </w:rPr>
      </w:pPr>
    </w:p>
    <w:p w14:paraId="56241701">
      <w:pPr>
        <w:widowControl/>
        <w:adjustRightInd/>
        <w:snapToGrid/>
        <w:spacing w:line="240" w:lineRule="auto"/>
        <w:ind w:firstLine="0" w:firstLineChars="0"/>
        <w:jc w:val="left"/>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br w:type="page"/>
      </w:r>
    </w:p>
    <w:p w14:paraId="419354C2">
      <w:pPr>
        <w:pStyle w:val="6"/>
        <w:ind w:firstLine="391"/>
        <w:jc w:val="left"/>
        <w:rPr>
          <w:color w:val="000000" w:themeColor="text1"/>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附件一：考核要求</w:t>
      </w:r>
    </w:p>
    <w:p w14:paraId="4C2776AF">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采购人管理部门组织开展运维服务质量考核，对达不到运维要求或违规操作的，采购人管理部门可以扣减相应的运维费，并有权终止运维合同。 </w:t>
      </w:r>
    </w:p>
    <w:p w14:paraId="2100FA1B">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1、监督管理 </w:t>
      </w:r>
    </w:p>
    <w:p w14:paraId="3D87B22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（1）成交供应商承担监测数据的保密责任（签订保密协议），不得利用本项目的数据、档案或有关资料对外开展技术交流、业务联系、数据交换等。否则，采购人有权终止合同。 </w:t>
      </w:r>
    </w:p>
    <w:p w14:paraId="19CB566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（2）运维期间出现调整数据、修改参数、改动设备、弄虚作假等违规行为的，采购人有权终止运维合同。 </w:t>
      </w:r>
    </w:p>
    <w:p w14:paraId="28BF1A31">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2、考核办法</w:t>
      </w:r>
    </w:p>
    <w:p w14:paraId="465CA30A">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采购人每期运维结束后对成交供应商运维服务质量考核。考核采取百分制、整体考核的方式，成交供应商提供运维工作报告，对维护工作进行汇总，由采购人管理部门根据考核评分表进行考核评分。</w:t>
      </w:r>
    </w:p>
    <w:p w14:paraId="6AE79D48">
      <w:pPr>
        <w:pStyle w:val="60"/>
        <w:ind w:firstLine="442"/>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考核评分表</w:t>
      </w:r>
    </w:p>
    <w:tbl>
      <w:tblPr>
        <w:tblStyle w:val="22"/>
        <w:tblW w:w="9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488"/>
        <w:gridCol w:w="962"/>
        <w:gridCol w:w="450"/>
        <w:gridCol w:w="5867"/>
        <w:gridCol w:w="567"/>
        <w:gridCol w:w="567"/>
      </w:tblGrid>
      <w:tr w14:paraId="2DC5F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9" w:type="dxa"/>
            <w:tcMar>
              <w:top w:w="15" w:type="dxa"/>
              <w:left w:w="15" w:type="dxa"/>
              <w:bottom w:w="15" w:type="dxa"/>
              <w:right w:w="15" w:type="dxa"/>
            </w:tcMar>
            <w:vAlign w:val="center"/>
          </w:tcPr>
          <w:p w14:paraId="5289CD83">
            <w:pPr>
              <w:widowControl/>
              <w:adjustRightInd/>
              <w:spacing w:line="360" w:lineRule="auto"/>
              <w:ind w:firstLine="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项</w:t>
            </w:r>
            <w:r>
              <w:rPr>
                <w:rFonts w:hint="eastAsia" w:ascii="宋体" w:hAnsi="宋体" w:cs="宋体" w:eastAsiaTheme="minorHAnsi"/>
                <w:color w:val="000000" w:themeColor="text1"/>
                <w:sz w:val="22"/>
                <w:szCs w:val="21"/>
                <w:highlight w:val="none"/>
                <w14:textFill>
                  <w14:solidFill>
                    <w14:schemeClr w14:val="tx1"/>
                  </w14:solidFill>
                </w14:textFill>
              </w:rPr>
              <w:t>目</w:t>
            </w:r>
          </w:p>
        </w:tc>
        <w:tc>
          <w:tcPr>
            <w:tcW w:w="488" w:type="dxa"/>
            <w:tcMar>
              <w:top w:w="15" w:type="dxa"/>
              <w:left w:w="15" w:type="dxa"/>
              <w:bottom w:w="15" w:type="dxa"/>
              <w:right w:w="15" w:type="dxa"/>
            </w:tcMar>
            <w:vAlign w:val="center"/>
          </w:tcPr>
          <w:p w14:paraId="0B9E0C42">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序</w:t>
            </w:r>
            <w:r>
              <w:rPr>
                <w:rFonts w:hint="eastAsia" w:ascii="宋体" w:hAnsi="宋体" w:cs="宋体" w:eastAsiaTheme="minorHAnsi"/>
                <w:color w:val="000000" w:themeColor="text1"/>
                <w:sz w:val="22"/>
                <w:szCs w:val="21"/>
                <w:highlight w:val="none"/>
                <w14:textFill>
                  <w14:solidFill>
                    <w14:schemeClr w14:val="tx1"/>
                  </w14:solidFill>
                </w14:textFill>
              </w:rPr>
              <w:t>号</w:t>
            </w:r>
          </w:p>
        </w:tc>
        <w:tc>
          <w:tcPr>
            <w:tcW w:w="962" w:type="dxa"/>
            <w:tcMar>
              <w:top w:w="15" w:type="dxa"/>
              <w:left w:w="15" w:type="dxa"/>
              <w:bottom w:w="15" w:type="dxa"/>
              <w:right w:w="15" w:type="dxa"/>
            </w:tcMar>
            <w:vAlign w:val="center"/>
          </w:tcPr>
          <w:p w14:paraId="49490882">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考</w:t>
            </w:r>
            <w:r>
              <w:rPr>
                <w:rFonts w:hint="eastAsia" w:ascii="宋体" w:hAnsi="宋体" w:cs="宋体" w:eastAsiaTheme="minorHAnsi"/>
                <w:color w:val="000000" w:themeColor="text1"/>
                <w:sz w:val="22"/>
                <w:szCs w:val="21"/>
                <w:highlight w:val="none"/>
                <w14:textFill>
                  <w14:solidFill>
                    <w14:schemeClr w14:val="tx1"/>
                  </w14:solidFill>
                </w14:textFill>
              </w:rPr>
              <w:t>核内容</w:t>
            </w:r>
          </w:p>
        </w:tc>
        <w:tc>
          <w:tcPr>
            <w:tcW w:w="450" w:type="dxa"/>
            <w:tcMar>
              <w:top w:w="15" w:type="dxa"/>
              <w:left w:w="15" w:type="dxa"/>
              <w:bottom w:w="15" w:type="dxa"/>
              <w:right w:w="15" w:type="dxa"/>
            </w:tcMar>
            <w:vAlign w:val="center"/>
          </w:tcPr>
          <w:p w14:paraId="11D8367A">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分</w:t>
            </w:r>
            <w:r>
              <w:rPr>
                <w:rFonts w:hint="eastAsia" w:ascii="宋体" w:hAnsi="宋体" w:cs="宋体" w:eastAsiaTheme="minorHAnsi"/>
                <w:color w:val="000000" w:themeColor="text1"/>
                <w:sz w:val="22"/>
                <w:szCs w:val="21"/>
                <w:highlight w:val="none"/>
                <w14:textFill>
                  <w14:solidFill>
                    <w14:schemeClr w14:val="tx1"/>
                  </w14:solidFill>
                </w14:textFill>
              </w:rPr>
              <w:t>值</w:t>
            </w:r>
          </w:p>
        </w:tc>
        <w:tc>
          <w:tcPr>
            <w:tcW w:w="5867" w:type="dxa"/>
            <w:tcMar>
              <w:top w:w="15" w:type="dxa"/>
              <w:left w:w="15" w:type="dxa"/>
              <w:bottom w:w="15" w:type="dxa"/>
              <w:right w:w="15" w:type="dxa"/>
            </w:tcMar>
            <w:vAlign w:val="center"/>
          </w:tcPr>
          <w:p w14:paraId="2EAE923B">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评</w:t>
            </w:r>
            <w:r>
              <w:rPr>
                <w:rFonts w:hint="eastAsia" w:ascii="宋体" w:hAnsi="宋体" w:cs="宋体" w:eastAsiaTheme="minorHAnsi"/>
                <w:color w:val="000000" w:themeColor="text1"/>
                <w:sz w:val="22"/>
                <w:szCs w:val="21"/>
                <w:highlight w:val="none"/>
                <w14:textFill>
                  <w14:solidFill>
                    <w14:schemeClr w14:val="tx1"/>
                  </w14:solidFill>
                </w14:textFill>
              </w:rPr>
              <w:t>分细则</w:t>
            </w:r>
          </w:p>
        </w:tc>
        <w:tc>
          <w:tcPr>
            <w:tcW w:w="567" w:type="dxa"/>
            <w:tcMar>
              <w:top w:w="15" w:type="dxa"/>
              <w:left w:w="15" w:type="dxa"/>
              <w:bottom w:w="15" w:type="dxa"/>
              <w:right w:w="15" w:type="dxa"/>
            </w:tcMar>
            <w:vAlign w:val="center"/>
          </w:tcPr>
          <w:p w14:paraId="7A2CA5D7">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扣</w:t>
            </w:r>
            <w:r>
              <w:rPr>
                <w:rFonts w:hint="eastAsia" w:ascii="宋体" w:hAnsi="宋体" w:cs="宋体" w:eastAsiaTheme="minorHAnsi"/>
                <w:color w:val="000000" w:themeColor="text1"/>
                <w:sz w:val="22"/>
                <w:szCs w:val="21"/>
                <w:highlight w:val="none"/>
                <w14:textFill>
                  <w14:solidFill>
                    <w14:schemeClr w14:val="tx1"/>
                  </w14:solidFill>
                </w14:textFill>
              </w:rPr>
              <w:t>分</w:t>
            </w:r>
          </w:p>
        </w:tc>
        <w:tc>
          <w:tcPr>
            <w:tcW w:w="567" w:type="dxa"/>
            <w:tcMar>
              <w:top w:w="15" w:type="dxa"/>
              <w:left w:w="15" w:type="dxa"/>
              <w:bottom w:w="15" w:type="dxa"/>
              <w:right w:w="15" w:type="dxa"/>
            </w:tcMar>
            <w:vAlign w:val="center"/>
          </w:tcPr>
          <w:p w14:paraId="1DE32317">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备</w:t>
            </w:r>
            <w:r>
              <w:rPr>
                <w:rFonts w:hint="eastAsia" w:ascii="宋体" w:hAnsi="宋体" w:cs="宋体" w:eastAsiaTheme="minorHAnsi"/>
                <w:color w:val="000000" w:themeColor="text1"/>
                <w:sz w:val="22"/>
                <w:szCs w:val="21"/>
                <w:highlight w:val="none"/>
                <w14:textFill>
                  <w14:solidFill>
                    <w14:schemeClr w14:val="tx1"/>
                  </w14:solidFill>
                </w14:textFill>
              </w:rPr>
              <w:t>注</w:t>
            </w:r>
          </w:p>
        </w:tc>
      </w:tr>
      <w:tr w14:paraId="623E6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9" w:type="dxa"/>
            <w:vMerge w:val="restart"/>
            <w:tcMar>
              <w:top w:w="15" w:type="dxa"/>
              <w:left w:w="15" w:type="dxa"/>
              <w:bottom w:w="15" w:type="dxa"/>
              <w:right w:w="15" w:type="dxa"/>
            </w:tcMar>
            <w:vAlign w:val="center"/>
          </w:tcPr>
          <w:p w14:paraId="1ECBF9FA">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一</w:t>
            </w:r>
            <w:r>
              <w:rPr>
                <w:rFonts w:hint="eastAsia" w:ascii="宋体" w:hAnsi="宋体" w:cs="宋体" w:eastAsiaTheme="minorHAnsi"/>
                <w:color w:val="000000" w:themeColor="text1"/>
                <w:sz w:val="22"/>
                <w:szCs w:val="21"/>
                <w:highlight w:val="none"/>
                <w14:textFill>
                  <w14:solidFill>
                    <w14:schemeClr w14:val="tx1"/>
                  </w14:solidFill>
                </w14:textFill>
              </w:rPr>
              <w:t>、资源配备（30分）</w:t>
            </w:r>
          </w:p>
        </w:tc>
        <w:tc>
          <w:tcPr>
            <w:tcW w:w="488" w:type="dxa"/>
            <w:tcMar>
              <w:top w:w="15" w:type="dxa"/>
              <w:left w:w="15" w:type="dxa"/>
              <w:bottom w:w="15" w:type="dxa"/>
              <w:right w:w="15" w:type="dxa"/>
            </w:tcMar>
            <w:vAlign w:val="center"/>
          </w:tcPr>
          <w:p w14:paraId="1241C151">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1</w:t>
            </w:r>
          </w:p>
        </w:tc>
        <w:tc>
          <w:tcPr>
            <w:tcW w:w="962" w:type="dxa"/>
            <w:tcMar>
              <w:top w:w="15" w:type="dxa"/>
              <w:left w:w="15" w:type="dxa"/>
              <w:bottom w:w="15" w:type="dxa"/>
              <w:right w:w="15" w:type="dxa"/>
            </w:tcMar>
            <w:vAlign w:val="center"/>
          </w:tcPr>
          <w:p w14:paraId="7FA1FD90">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人</w:t>
            </w:r>
            <w:r>
              <w:rPr>
                <w:rFonts w:hint="eastAsia" w:ascii="宋体" w:hAnsi="宋体" w:cs="宋体" w:eastAsiaTheme="minorHAnsi"/>
                <w:color w:val="000000" w:themeColor="text1"/>
                <w:sz w:val="22"/>
                <w:szCs w:val="21"/>
                <w:highlight w:val="none"/>
                <w14:textFill>
                  <w14:solidFill>
                    <w14:schemeClr w14:val="tx1"/>
                  </w14:solidFill>
                </w14:textFill>
              </w:rPr>
              <w:t>员配备</w:t>
            </w:r>
          </w:p>
        </w:tc>
        <w:tc>
          <w:tcPr>
            <w:tcW w:w="450" w:type="dxa"/>
            <w:tcMar>
              <w:top w:w="15" w:type="dxa"/>
              <w:left w:w="15" w:type="dxa"/>
              <w:bottom w:w="15" w:type="dxa"/>
              <w:right w:w="15" w:type="dxa"/>
            </w:tcMar>
            <w:vAlign w:val="center"/>
          </w:tcPr>
          <w:p w14:paraId="048985E9">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10</w:t>
            </w:r>
          </w:p>
        </w:tc>
        <w:tc>
          <w:tcPr>
            <w:tcW w:w="5867" w:type="dxa"/>
            <w:tcMar>
              <w:top w:w="15" w:type="dxa"/>
              <w:left w:w="15" w:type="dxa"/>
              <w:bottom w:w="15" w:type="dxa"/>
              <w:right w:w="15" w:type="dxa"/>
            </w:tcMar>
            <w:vAlign w:val="center"/>
          </w:tcPr>
          <w:p w14:paraId="2AE2F438">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需</w:t>
            </w:r>
            <w:r>
              <w:rPr>
                <w:rFonts w:hint="eastAsia" w:ascii="宋体" w:hAnsi="宋体" w:cs="宋体" w:eastAsiaTheme="minorHAnsi"/>
                <w:color w:val="000000" w:themeColor="text1"/>
                <w:sz w:val="22"/>
                <w:szCs w:val="21"/>
                <w:highlight w:val="none"/>
                <w14:textFill>
                  <w14:solidFill>
                    <w14:schemeClr w14:val="tx1"/>
                  </w14:solidFill>
                </w14:textFill>
              </w:rPr>
              <w:t>符合招标要求，否则扣10分</w:t>
            </w:r>
          </w:p>
        </w:tc>
        <w:tc>
          <w:tcPr>
            <w:tcW w:w="567" w:type="dxa"/>
            <w:tcMar>
              <w:top w:w="15" w:type="dxa"/>
              <w:left w:w="15" w:type="dxa"/>
              <w:bottom w:w="15" w:type="dxa"/>
              <w:right w:w="15" w:type="dxa"/>
            </w:tcMar>
            <w:vAlign w:val="center"/>
          </w:tcPr>
          <w:p w14:paraId="5FBFC123">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567" w:type="dxa"/>
            <w:tcMar>
              <w:top w:w="15" w:type="dxa"/>
              <w:left w:w="15" w:type="dxa"/>
              <w:bottom w:w="15" w:type="dxa"/>
              <w:right w:w="15" w:type="dxa"/>
            </w:tcMar>
            <w:vAlign w:val="center"/>
          </w:tcPr>
          <w:p w14:paraId="5A614FC7">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r>
      <w:tr w14:paraId="1ADBB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9" w:type="dxa"/>
            <w:vMerge w:val="continue"/>
            <w:vAlign w:val="center"/>
          </w:tcPr>
          <w:p w14:paraId="0FE8351A">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488" w:type="dxa"/>
            <w:tcMar>
              <w:top w:w="15" w:type="dxa"/>
              <w:left w:w="15" w:type="dxa"/>
              <w:bottom w:w="15" w:type="dxa"/>
              <w:right w:w="15" w:type="dxa"/>
            </w:tcMar>
            <w:vAlign w:val="center"/>
          </w:tcPr>
          <w:p w14:paraId="5A49DE57">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2</w:t>
            </w:r>
          </w:p>
        </w:tc>
        <w:tc>
          <w:tcPr>
            <w:tcW w:w="962" w:type="dxa"/>
            <w:tcMar>
              <w:top w:w="15" w:type="dxa"/>
              <w:left w:w="15" w:type="dxa"/>
              <w:bottom w:w="15" w:type="dxa"/>
              <w:right w:w="15" w:type="dxa"/>
            </w:tcMar>
            <w:vAlign w:val="center"/>
          </w:tcPr>
          <w:p w14:paraId="5EE39CC6">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办</w:t>
            </w:r>
            <w:r>
              <w:rPr>
                <w:rFonts w:hint="eastAsia" w:ascii="宋体" w:hAnsi="宋体" w:cs="宋体" w:eastAsiaTheme="minorHAnsi"/>
                <w:color w:val="000000" w:themeColor="text1"/>
                <w:sz w:val="22"/>
                <w:szCs w:val="21"/>
                <w:highlight w:val="none"/>
                <w14:textFill>
                  <w14:solidFill>
                    <w14:schemeClr w14:val="tx1"/>
                  </w14:solidFill>
                </w14:textFill>
              </w:rPr>
              <w:t>公场所、车辆配备</w:t>
            </w:r>
          </w:p>
        </w:tc>
        <w:tc>
          <w:tcPr>
            <w:tcW w:w="450" w:type="dxa"/>
            <w:tcMar>
              <w:top w:w="15" w:type="dxa"/>
              <w:left w:w="15" w:type="dxa"/>
              <w:bottom w:w="15" w:type="dxa"/>
              <w:right w:w="15" w:type="dxa"/>
            </w:tcMar>
            <w:vAlign w:val="center"/>
          </w:tcPr>
          <w:p w14:paraId="5D024AB8">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10</w:t>
            </w:r>
          </w:p>
        </w:tc>
        <w:tc>
          <w:tcPr>
            <w:tcW w:w="5867" w:type="dxa"/>
            <w:tcMar>
              <w:top w:w="15" w:type="dxa"/>
              <w:left w:w="15" w:type="dxa"/>
              <w:bottom w:w="15" w:type="dxa"/>
              <w:right w:w="15" w:type="dxa"/>
            </w:tcMar>
            <w:vAlign w:val="center"/>
          </w:tcPr>
          <w:p w14:paraId="3BF9592C">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1、配备专用的运维车辆，否则扣10分</w:t>
            </w:r>
          </w:p>
          <w:p w14:paraId="67DECF23">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2、运维人员应按照规定使用运维车，未经采购人同意，私自使用车辆从事非运维工作的，每次扣1分</w:t>
            </w:r>
          </w:p>
        </w:tc>
        <w:tc>
          <w:tcPr>
            <w:tcW w:w="567" w:type="dxa"/>
            <w:tcMar>
              <w:top w:w="15" w:type="dxa"/>
              <w:left w:w="15" w:type="dxa"/>
              <w:bottom w:w="15" w:type="dxa"/>
              <w:right w:w="15" w:type="dxa"/>
            </w:tcMar>
            <w:vAlign w:val="center"/>
          </w:tcPr>
          <w:p w14:paraId="69BD6FF7">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567" w:type="dxa"/>
            <w:tcMar>
              <w:top w:w="15" w:type="dxa"/>
              <w:left w:w="15" w:type="dxa"/>
              <w:bottom w:w="15" w:type="dxa"/>
              <w:right w:w="15" w:type="dxa"/>
            </w:tcMar>
            <w:vAlign w:val="center"/>
          </w:tcPr>
          <w:p w14:paraId="237D5968">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r>
      <w:tr w14:paraId="642C0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9" w:type="dxa"/>
            <w:vMerge w:val="continue"/>
            <w:vAlign w:val="center"/>
          </w:tcPr>
          <w:p w14:paraId="7AD0E7EA">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488" w:type="dxa"/>
            <w:tcMar>
              <w:top w:w="15" w:type="dxa"/>
              <w:left w:w="15" w:type="dxa"/>
              <w:bottom w:w="15" w:type="dxa"/>
              <w:right w:w="15" w:type="dxa"/>
            </w:tcMar>
            <w:vAlign w:val="center"/>
          </w:tcPr>
          <w:p w14:paraId="3B5DFCF6">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3</w:t>
            </w:r>
          </w:p>
        </w:tc>
        <w:tc>
          <w:tcPr>
            <w:tcW w:w="962" w:type="dxa"/>
            <w:tcMar>
              <w:top w:w="15" w:type="dxa"/>
              <w:left w:w="15" w:type="dxa"/>
              <w:bottom w:w="15" w:type="dxa"/>
              <w:right w:w="15" w:type="dxa"/>
            </w:tcMar>
            <w:vAlign w:val="center"/>
          </w:tcPr>
          <w:p w14:paraId="1FBE3413">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备</w:t>
            </w:r>
            <w:r>
              <w:rPr>
                <w:rFonts w:hint="eastAsia" w:ascii="宋体" w:hAnsi="宋体" w:cs="宋体" w:eastAsiaTheme="minorHAnsi"/>
                <w:color w:val="000000" w:themeColor="text1"/>
                <w:sz w:val="22"/>
                <w:szCs w:val="21"/>
                <w:highlight w:val="none"/>
                <w14:textFill>
                  <w14:solidFill>
                    <w14:schemeClr w14:val="tx1"/>
                  </w14:solidFill>
                </w14:textFill>
              </w:rPr>
              <w:t>品备件</w:t>
            </w:r>
          </w:p>
        </w:tc>
        <w:tc>
          <w:tcPr>
            <w:tcW w:w="450" w:type="dxa"/>
            <w:tcMar>
              <w:top w:w="15" w:type="dxa"/>
              <w:left w:w="15" w:type="dxa"/>
              <w:bottom w:w="15" w:type="dxa"/>
              <w:right w:w="15" w:type="dxa"/>
            </w:tcMar>
            <w:vAlign w:val="center"/>
          </w:tcPr>
          <w:p w14:paraId="5EE0740C">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10</w:t>
            </w:r>
          </w:p>
        </w:tc>
        <w:tc>
          <w:tcPr>
            <w:tcW w:w="5867" w:type="dxa"/>
            <w:tcMar>
              <w:top w:w="15" w:type="dxa"/>
              <w:left w:w="15" w:type="dxa"/>
              <w:bottom w:w="15" w:type="dxa"/>
              <w:right w:w="15" w:type="dxa"/>
            </w:tcMar>
            <w:vAlign w:val="center"/>
          </w:tcPr>
          <w:p w14:paraId="63D0E492">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1、每月提供备品备件清单，缺失一次扣1分</w:t>
            </w:r>
          </w:p>
          <w:p w14:paraId="5FDDAAAD">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2、每月清点，备件存有数量低于本招标文件要求的，每项每次扣1分</w:t>
            </w:r>
          </w:p>
        </w:tc>
        <w:tc>
          <w:tcPr>
            <w:tcW w:w="567" w:type="dxa"/>
            <w:tcMar>
              <w:top w:w="15" w:type="dxa"/>
              <w:left w:w="15" w:type="dxa"/>
              <w:bottom w:w="15" w:type="dxa"/>
              <w:right w:w="15" w:type="dxa"/>
            </w:tcMar>
            <w:vAlign w:val="center"/>
          </w:tcPr>
          <w:p w14:paraId="55E98F6E">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567" w:type="dxa"/>
            <w:tcMar>
              <w:top w:w="15" w:type="dxa"/>
              <w:left w:w="15" w:type="dxa"/>
              <w:bottom w:w="15" w:type="dxa"/>
              <w:right w:w="15" w:type="dxa"/>
            </w:tcMar>
            <w:vAlign w:val="center"/>
          </w:tcPr>
          <w:p w14:paraId="7C304DF7">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r>
      <w:tr w14:paraId="58693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9" w:type="dxa"/>
            <w:vMerge w:val="restart"/>
            <w:tcMar>
              <w:top w:w="15" w:type="dxa"/>
              <w:left w:w="15" w:type="dxa"/>
              <w:bottom w:w="15" w:type="dxa"/>
              <w:right w:w="15" w:type="dxa"/>
            </w:tcMar>
            <w:vAlign w:val="center"/>
          </w:tcPr>
          <w:p w14:paraId="086A995E">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二</w:t>
            </w:r>
            <w:r>
              <w:rPr>
                <w:rFonts w:hint="eastAsia" w:ascii="宋体" w:hAnsi="宋体" w:cs="宋体" w:eastAsiaTheme="minorHAnsi"/>
                <w:color w:val="000000" w:themeColor="text1"/>
                <w:sz w:val="22"/>
                <w:szCs w:val="21"/>
                <w:highlight w:val="none"/>
                <w14:textFill>
                  <w14:solidFill>
                    <w14:schemeClr w14:val="tx1"/>
                  </w14:solidFill>
                </w14:textFill>
              </w:rPr>
              <w:t>、日常维护（45分）</w:t>
            </w:r>
          </w:p>
        </w:tc>
        <w:tc>
          <w:tcPr>
            <w:tcW w:w="488" w:type="dxa"/>
            <w:tcMar>
              <w:top w:w="15" w:type="dxa"/>
              <w:left w:w="15" w:type="dxa"/>
              <w:bottom w:w="15" w:type="dxa"/>
              <w:right w:w="15" w:type="dxa"/>
            </w:tcMar>
            <w:vAlign w:val="center"/>
          </w:tcPr>
          <w:p w14:paraId="7C8A4D76">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4</w:t>
            </w:r>
          </w:p>
        </w:tc>
        <w:tc>
          <w:tcPr>
            <w:tcW w:w="962" w:type="dxa"/>
            <w:tcMar>
              <w:top w:w="15" w:type="dxa"/>
              <w:left w:w="15" w:type="dxa"/>
              <w:bottom w:w="15" w:type="dxa"/>
              <w:right w:w="15" w:type="dxa"/>
            </w:tcMar>
            <w:vAlign w:val="center"/>
          </w:tcPr>
          <w:p w14:paraId="60CAAF69">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现</w:t>
            </w:r>
            <w:r>
              <w:rPr>
                <w:rFonts w:hint="eastAsia" w:ascii="宋体" w:hAnsi="宋体" w:cs="宋体" w:eastAsiaTheme="minorHAnsi"/>
                <w:color w:val="000000" w:themeColor="text1"/>
                <w:sz w:val="22"/>
                <w:szCs w:val="21"/>
                <w:highlight w:val="none"/>
                <w14:textFill>
                  <w14:solidFill>
                    <w14:schemeClr w14:val="tx1"/>
                  </w14:solidFill>
                </w14:textFill>
              </w:rPr>
              <w:t>场端监控设备运行环境</w:t>
            </w:r>
          </w:p>
        </w:tc>
        <w:tc>
          <w:tcPr>
            <w:tcW w:w="450" w:type="dxa"/>
            <w:tcMar>
              <w:top w:w="15" w:type="dxa"/>
              <w:left w:w="15" w:type="dxa"/>
              <w:bottom w:w="15" w:type="dxa"/>
              <w:right w:w="15" w:type="dxa"/>
            </w:tcMar>
            <w:vAlign w:val="center"/>
          </w:tcPr>
          <w:p w14:paraId="5AB83F9C">
            <w:pPr>
              <w:widowControl/>
              <w:adjustRightInd/>
              <w:spacing w:line="360" w:lineRule="auto"/>
              <w:ind w:firstLine="22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2</w:t>
            </w:r>
          </w:p>
        </w:tc>
        <w:tc>
          <w:tcPr>
            <w:tcW w:w="5867" w:type="dxa"/>
            <w:tcMar>
              <w:top w:w="15" w:type="dxa"/>
              <w:left w:w="15" w:type="dxa"/>
              <w:bottom w:w="15" w:type="dxa"/>
              <w:right w:w="15" w:type="dxa"/>
            </w:tcMar>
            <w:vAlign w:val="center"/>
          </w:tcPr>
          <w:p w14:paraId="696D3629">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现</w:t>
            </w:r>
            <w:r>
              <w:rPr>
                <w:rFonts w:hint="eastAsia" w:ascii="宋体" w:hAnsi="宋体" w:cs="宋体" w:eastAsiaTheme="minorHAnsi"/>
                <w:color w:val="000000" w:themeColor="text1"/>
                <w:sz w:val="22"/>
                <w:szCs w:val="21"/>
                <w:highlight w:val="none"/>
                <w14:textFill>
                  <w14:solidFill>
                    <w14:schemeClr w14:val="tx1"/>
                  </w14:solidFill>
                </w14:textFill>
              </w:rPr>
              <w:t>场操作人员应保持站房内的卫生和整洁，并严格按所在企业的安全生产要求进行操作，未进行定期清洁维护的，每个点位（次）扣1分</w:t>
            </w:r>
          </w:p>
        </w:tc>
        <w:tc>
          <w:tcPr>
            <w:tcW w:w="567" w:type="dxa"/>
            <w:tcMar>
              <w:top w:w="15" w:type="dxa"/>
              <w:left w:w="15" w:type="dxa"/>
              <w:bottom w:w="15" w:type="dxa"/>
              <w:right w:w="15" w:type="dxa"/>
            </w:tcMar>
            <w:vAlign w:val="center"/>
          </w:tcPr>
          <w:p w14:paraId="1DC3B1B7">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567" w:type="dxa"/>
            <w:tcMar>
              <w:top w:w="15" w:type="dxa"/>
              <w:left w:w="15" w:type="dxa"/>
              <w:bottom w:w="15" w:type="dxa"/>
              <w:right w:w="15" w:type="dxa"/>
            </w:tcMar>
            <w:vAlign w:val="center"/>
          </w:tcPr>
          <w:p w14:paraId="778585C1">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r>
      <w:tr w14:paraId="686B3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9" w:type="dxa"/>
            <w:vMerge w:val="continue"/>
            <w:vAlign w:val="center"/>
          </w:tcPr>
          <w:p w14:paraId="57DDE41F">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488" w:type="dxa"/>
            <w:tcMar>
              <w:top w:w="15" w:type="dxa"/>
              <w:left w:w="15" w:type="dxa"/>
              <w:bottom w:w="15" w:type="dxa"/>
              <w:right w:w="15" w:type="dxa"/>
            </w:tcMar>
            <w:vAlign w:val="center"/>
          </w:tcPr>
          <w:p w14:paraId="7685575E">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5</w:t>
            </w:r>
          </w:p>
        </w:tc>
        <w:tc>
          <w:tcPr>
            <w:tcW w:w="962" w:type="dxa"/>
            <w:tcMar>
              <w:top w:w="15" w:type="dxa"/>
              <w:left w:w="15" w:type="dxa"/>
              <w:bottom w:w="15" w:type="dxa"/>
              <w:right w:w="15" w:type="dxa"/>
            </w:tcMar>
            <w:vAlign w:val="center"/>
          </w:tcPr>
          <w:p w14:paraId="7475B6BE">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现</w:t>
            </w:r>
            <w:r>
              <w:rPr>
                <w:rFonts w:hint="eastAsia" w:ascii="宋体" w:hAnsi="宋体" w:cs="宋体" w:eastAsiaTheme="minorHAnsi"/>
                <w:color w:val="000000" w:themeColor="text1"/>
                <w:sz w:val="22"/>
                <w:szCs w:val="21"/>
                <w:highlight w:val="none"/>
                <w14:textFill>
                  <w14:solidFill>
                    <w14:schemeClr w14:val="tx1"/>
                  </w14:solidFill>
                </w14:textFill>
              </w:rPr>
              <w:t>场巡检频次情况</w:t>
            </w:r>
          </w:p>
        </w:tc>
        <w:tc>
          <w:tcPr>
            <w:tcW w:w="450" w:type="dxa"/>
            <w:tcMar>
              <w:top w:w="15" w:type="dxa"/>
              <w:left w:w="15" w:type="dxa"/>
              <w:bottom w:w="15" w:type="dxa"/>
              <w:right w:w="15" w:type="dxa"/>
            </w:tcMar>
            <w:vAlign w:val="center"/>
          </w:tcPr>
          <w:p w14:paraId="62F09221">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10</w:t>
            </w:r>
          </w:p>
        </w:tc>
        <w:tc>
          <w:tcPr>
            <w:tcW w:w="5867" w:type="dxa"/>
            <w:tcMar>
              <w:top w:w="15" w:type="dxa"/>
              <w:left w:w="15" w:type="dxa"/>
              <w:bottom w:w="15" w:type="dxa"/>
              <w:right w:w="15" w:type="dxa"/>
            </w:tcMar>
            <w:vAlign w:val="center"/>
          </w:tcPr>
          <w:p w14:paraId="4222E69D">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每</w:t>
            </w:r>
            <w:r>
              <w:rPr>
                <w:rFonts w:hint="eastAsia" w:ascii="宋体" w:hAnsi="宋体" w:cs="宋体" w:eastAsiaTheme="minorHAnsi"/>
                <w:color w:val="000000" w:themeColor="text1"/>
                <w:sz w:val="22"/>
                <w:szCs w:val="21"/>
                <w:highlight w:val="none"/>
                <w14:textFill>
                  <w14:solidFill>
                    <w14:schemeClr w14:val="tx1"/>
                  </w14:solidFill>
                </w14:textFill>
              </w:rPr>
              <w:t>个水质自动监测站必须按要求进行定时巡检，并做好巡检记录，未按时巡检或做好相关记录，每次扣0.5分</w:t>
            </w:r>
          </w:p>
        </w:tc>
        <w:tc>
          <w:tcPr>
            <w:tcW w:w="567" w:type="dxa"/>
            <w:tcMar>
              <w:top w:w="15" w:type="dxa"/>
              <w:left w:w="15" w:type="dxa"/>
              <w:bottom w:w="15" w:type="dxa"/>
              <w:right w:w="15" w:type="dxa"/>
            </w:tcMar>
            <w:vAlign w:val="center"/>
          </w:tcPr>
          <w:p w14:paraId="4FF5DAB8">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567" w:type="dxa"/>
            <w:tcMar>
              <w:top w:w="15" w:type="dxa"/>
              <w:left w:w="15" w:type="dxa"/>
              <w:bottom w:w="15" w:type="dxa"/>
              <w:right w:w="15" w:type="dxa"/>
            </w:tcMar>
            <w:vAlign w:val="center"/>
          </w:tcPr>
          <w:p w14:paraId="25D49BD6">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r>
      <w:tr w14:paraId="6F18E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9" w:type="dxa"/>
            <w:vMerge w:val="continue"/>
            <w:vAlign w:val="center"/>
          </w:tcPr>
          <w:p w14:paraId="74099F6E">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488" w:type="dxa"/>
            <w:tcMar>
              <w:top w:w="15" w:type="dxa"/>
              <w:left w:w="15" w:type="dxa"/>
              <w:bottom w:w="15" w:type="dxa"/>
              <w:right w:w="15" w:type="dxa"/>
            </w:tcMar>
            <w:vAlign w:val="center"/>
          </w:tcPr>
          <w:p w14:paraId="30362550">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6</w:t>
            </w:r>
          </w:p>
        </w:tc>
        <w:tc>
          <w:tcPr>
            <w:tcW w:w="962" w:type="dxa"/>
            <w:tcMar>
              <w:top w:w="15" w:type="dxa"/>
              <w:left w:w="15" w:type="dxa"/>
              <w:bottom w:w="15" w:type="dxa"/>
              <w:right w:w="15" w:type="dxa"/>
            </w:tcMar>
            <w:vAlign w:val="center"/>
          </w:tcPr>
          <w:p w14:paraId="28424CB3">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设</w:t>
            </w:r>
            <w:r>
              <w:rPr>
                <w:rFonts w:hint="eastAsia" w:ascii="宋体" w:hAnsi="宋体" w:cs="宋体" w:eastAsiaTheme="minorHAnsi"/>
                <w:color w:val="000000" w:themeColor="text1"/>
                <w:sz w:val="22"/>
                <w:szCs w:val="21"/>
                <w:highlight w:val="none"/>
                <w14:textFill>
                  <w14:solidFill>
                    <w14:schemeClr w14:val="tx1"/>
                  </w14:solidFill>
                </w14:textFill>
              </w:rPr>
              <w:t>备维护、保养情况</w:t>
            </w:r>
          </w:p>
        </w:tc>
        <w:tc>
          <w:tcPr>
            <w:tcW w:w="450" w:type="dxa"/>
            <w:tcMar>
              <w:top w:w="15" w:type="dxa"/>
              <w:left w:w="15" w:type="dxa"/>
              <w:bottom w:w="15" w:type="dxa"/>
              <w:right w:w="15" w:type="dxa"/>
            </w:tcMar>
            <w:vAlign w:val="center"/>
          </w:tcPr>
          <w:p w14:paraId="12853251">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10</w:t>
            </w:r>
          </w:p>
        </w:tc>
        <w:tc>
          <w:tcPr>
            <w:tcW w:w="5867" w:type="dxa"/>
            <w:tcMar>
              <w:top w:w="15" w:type="dxa"/>
              <w:left w:w="15" w:type="dxa"/>
              <w:bottom w:w="15" w:type="dxa"/>
              <w:right w:w="15" w:type="dxa"/>
            </w:tcMar>
            <w:vAlign w:val="center"/>
          </w:tcPr>
          <w:p w14:paraId="1AE80540">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设</w:t>
            </w:r>
            <w:r>
              <w:rPr>
                <w:rFonts w:hint="eastAsia" w:ascii="宋体" w:hAnsi="宋体" w:cs="宋体" w:eastAsiaTheme="minorHAnsi"/>
                <w:color w:val="000000" w:themeColor="text1"/>
                <w:sz w:val="22"/>
                <w:szCs w:val="21"/>
                <w:highlight w:val="none"/>
                <w14:textFill>
                  <w14:solidFill>
                    <w14:schemeClr w14:val="tx1"/>
                  </w14:solidFill>
                </w14:textFill>
              </w:rPr>
              <w:t>备维护、保养频次应符合规范要求，检查时不符合要求的或者被投诉且查实的，一次扣1分</w:t>
            </w:r>
          </w:p>
        </w:tc>
        <w:tc>
          <w:tcPr>
            <w:tcW w:w="567" w:type="dxa"/>
            <w:tcMar>
              <w:top w:w="15" w:type="dxa"/>
              <w:left w:w="15" w:type="dxa"/>
              <w:bottom w:w="15" w:type="dxa"/>
              <w:right w:w="15" w:type="dxa"/>
            </w:tcMar>
            <w:vAlign w:val="center"/>
          </w:tcPr>
          <w:p w14:paraId="521E2817">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567" w:type="dxa"/>
            <w:tcMar>
              <w:top w:w="15" w:type="dxa"/>
              <w:left w:w="15" w:type="dxa"/>
              <w:bottom w:w="15" w:type="dxa"/>
              <w:right w:w="15" w:type="dxa"/>
            </w:tcMar>
            <w:vAlign w:val="center"/>
          </w:tcPr>
          <w:p w14:paraId="69F4CAE7">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r>
      <w:tr w14:paraId="4AEE3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9" w:type="dxa"/>
            <w:vMerge w:val="continue"/>
            <w:vAlign w:val="center"/>
          </w:tcPr>
          <w:p w14:paraId="28EAC7B1">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488" w:type="dxa"/>
            <w:tcMar>
              <w:top w:w="15" w:type="dxa"/>
              <w:left w:w="15" w:type="dxa"/>
              <w:bottom w:w="15" w:type="dxa"/>
              <w:right w:w="15" w:type="dxa"/>
            </w:tcMar>
            <w:vAlign w:val="center"/>
          </w:tcPr>
          <w:p w14:paraId="51FB9782">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7</w:t>
            </w:r>
          </w:p>
        </w:tc>
        <w:tc>
          <w:tcPr>
            <w:tcW w:w="962" w:type="dxa"/>
            <w:tcMar>
              <w:top w:w="15" w:type="dxa"/>
              <w:left w:w="15" w:type="dxa"/>
              <w:bottom w:w="15" w:type="dxa"/>
              <w:right w:w="15" w:type="dxa"/>
            </w:tcMar>
            <w:vAlign w:val="center"/>
          </w:tcPr>
          <w:p w14:paraId="3BF037A2">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质</w:t>
            </w:r>
            <w:r>
              <w:rPr>
                <w:rFonts w:hint="eastAsia" w:ascii="宋体" w:hAnsi="宋体" w:cs="宋体" w:eastAsiaTheme="minorHAnsi"/>
                <w:color w:val="000000" w:themeColor="text1"/>
                <w:sz w:val="22"/>
                <w:szCs w:val="21"/>
                <w:highlight w:val="none"/>
                <w14:textFill>
                  <w14:solidFill>
                    <w14:schemeClr w14:val="tx1"/>
                  </w14:solidFill>
                </w14:textFill>
              </w:rPr>
              <w:t>控工作完成情况</w:t>
            </w:r>
          </w:p>
        </w:tc>
        <w:tc>
          <w:tcPr>
            <w:tcW w:w="450" w:type="dxa"/>
            <w:tcMar>
              <w:top w:w="15" w:type="dxa"/>
              <w:left w:w="15" w:type="dxa"/>
              <w:bottom w:w="15" w:type="dxa"/>
              <w:right w:w="15" w:type="dxa"/>
            </w:tcMar>
            <w:vAlign w:val="center"/>
          </w:tcPr>
          <w:p w14:paraId="099320CA">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5</w:t>
            </w:r>
          </w:p>
        </w:tc>
        <w:tc>
          <w:tcPr>
            <w:tcW w:w="5867" w:type="dxa"/>
            <w:tcMar>
              <w:top w:w="15" w:type="dxa"/>
              <w:left w:w="15" w:type="dxa"/>
              <w:bottom w:w="15" w:type="dxa"/>
              <w:right w:w="15" w:type="dxa"/>
            </w:tcMar>
            <w:vAlign w:val="center"/>
          </w:tcPr>
          <w:p w14:paraId="6C5D9E2D">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每</w:t>
            </w:r>
            <w:r>
              <w:rPr>
                <w:rFonts w:hint="eastAsia" w:ascii="宋体" w:hAnsi="宋体" w:cs="宋体" w:eastAsiaTheme="minorHAnsi"/>
                <w:color w:val="000000" w:themeColor="text1"/>
                <w:sz w:val="22"/>
                <w:szCs w:val="21"/>
                <w:highlight w:val="none"/>
                <w14:textFill>
                  <w14:solidFill>
                    <w14:schemeClr w14:val="tx1"/>
                  </w14:solidFill>
                </w14:textFill>
              </w:rPr>
              <w:t>个水质自动监测站必须按要求实施质控工作，并做好质控记录，未按时实施质控工作或做好相关记录，每次扣0.5分</w:t>
            </w:r>
          </w:p>
        </w:tc>
        <w:tc>
          <w:tcPr>
            <w:tcW w:w="567" w:type="dxa"/>
            <w:tcMar>
              <w:top w:w="15" w:type="dxa"/>
              <w:left w:w="15" w:type="dxa"/>
              <w:bottom w:w="15" w:type="dxa"/>
              <w:right w:w="15" w:type="dxa"/>
            </w:tcMar>
            <w:vAlign w:val="center"/>
          </w:tcPr>
          <w:p w14:paraId="5E8A1869">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567" w:type="dxa"/>
            <w:tcMar>
              <w:top w:w="15" w:type="dxa"/>
              <w:left w:w="15" w:type="dxa"/>
              <w:bottom w:w="15" w:type="dxa"/>
              <w:right w:w="15" w:type="dxa"/>
            </w:tcMar>
            <w:vAlign w:val="center"/>
          </w:tcPr>
          <w:p w14:paraId="72D75BEB">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r>
      <w:tr w14:paraId="18139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9" w:type="dxa"/>
            <w:vMerge w:val="continue"/>
            <w:vAlign w:val="center"/>
          </w:tcPr>
          <w:p w14:paraId="2FA0C366">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488" w:type="dxa"/>
            <w:tcMar>
              <w:top w:w="15" w:type="dxa"/>
              <w:left w:w="15" w:type="dxa"/>
              <w:bottom w:w="15" w:type="dxa"/>
              <w:right w:w="15" w:type="dxa"/>
            </w:tcMar>
            <w:vAlign w:val="center"/>
          </w:tcPr>
          <w:p w14:paraId="4574E73D">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8</w:t>
            </w:r>
          </w:p>
        </w:tc>
        <w:tc>
          <w:tcPr>
            <w:tcW w:w="962" w:type="dxa"/>
            <w:tcMar>
              <w:top w:w="15" w:type="dxa"/>
              <w:left w:w="15" w:type="dxa"/>
              <w:bottom w:w="15" w:type="dxa"/>
              <w:right w:w="15" w:type="dxa"/>
            </w:tcMar>
            <w:vAlign w:val="center"/>
          </w:tcPr>
          <w:p w14:paraId="30D7D811">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操</w:t>
            </w:r>
            <w:r>
              <w:rPr>
                <w:rFonts w:hint="eastAsia" w:ascii="宋体" w:hAnsi="宋体" w:cs="宋体" w:eastAsiaTheme="minorHAnsi"/>
                <w:color w:val="000000" w:themeColor="text1"/>
                <w:sz w:val="22"/>
                <w:szCs w:val="21"/>
                <w:highlight w:val="none"/>
                <w14:textFill>
                  <w14:solidFill>
                    <w14:schemeClr w14:val="tx1"/>
                  </w14:solidFill>
                </w14:textFill>
              </w:rPr>
              <w:t>作人员熟练程度</w:t>
            </w:r>
          </w:p>
        </w:tc>
        <w:tc>
          <w:tcPr>
            <w:tcW w:w="450" w:type="dxa"/>
            <w:tcMar>
              <w:top w:w="15" w:type="dxa"/>
              <w:left w:w="15" w:type="dxa"/>
              <w:bottom w:w="15" w:type="dxa"/>
              <w:right w:w="15" w:type="dxa"/>
            </w:tcMar>
            <w:vAlign w:val="center"/>
          </w:tcPr>
          <w:p w14:paraId="6388D3E6">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5</w:t>
            </w:r>
          </w:p>
        </w:tc>
        <w:tc>
          <w:tcPr>
            <w:tcW w:w="5867" w:type="dxa"/>
            <w:tcMar>
              <w:top w:w="15" w:type="dxa"/>
              <w:left w:w="15" w:type="dxa"/>
              <w:bottom w:w="15" w:type="dxa"/>
              <w:right w:w="15" w:type="dxa"/>
            </w:tcMar>
            <w:vAlign w:val="center"/>
          </w:tcPr>
          <w:p w14:paraId="13360296">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根</w:t>
            </w:r>
            <w:r>
              <w:rPr>
                <w:rFonts w:hint="eastAsia" w:ascii="宋体" w:hAnsi="宋体" w:cs="宋体" w:eastAsiaTheme="minorHAnsi"/>
                <w:color w:val="000000" w:themeColor="text1"/>
                <w:sz w:val="22"/>
                <w:szCs w:val="21"/>
                <w:highlight w:val="none"/>
                <w14:textFill>
                  <w14:solidFill>
                    <w14:schemeClr w14:val="tx1"/>
                  </w14:solidFill>
                </w14:textFill>
              </w:rPr>
              <w:t>据现场操作人员的回答准确性、操作规范性、现场处理问题能力等进行判断，视情况酌情扣分。</w:t>
            </w:r>
          </w:p>
        </w:tc>
        <w:tc>
          <w:tcPr>
            <w:tcW w:w="567" w:type="dxa"/>
            <w:tcMar>
              <w:top w:w="15" w:type="dxa"/>
              <w:left w:w="15" w:type="dxa"/>
              <w:bottom w:w="15" w:type="dxa"/>
              <w:right w:w="15" w:type="dxa"/>
            </w:tcMar>
            <w:vAlign w:val="center"/>
          </w:tcPr>
          <w:p w14:paraId="1A0DFAC7">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567" w:type="dxa"/>
            <w:tcMar>
              <w:top w:w="15" w:type="dxa"/>
              <w:left w:w="15" w:type="dxa"/>
              <w:bottom w:w="15" w:type="dxa"/>
              <w:right w:w="15" w:type="dxa"/>
            </w:tcMar>
            <w:vAlign w:val="center"/>
          </w:tcPr>
          <w:p w14:paraId="255A664F">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r>
      <w:tr w14:paraId="32201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9" w:type="dxa"/>
            <w:vMerge w:val="continue"/>
            <w:vAlign w:val="center"/>
          </w:tcPr>
          <w:p w14:paraId="42E72657">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488" w:type="dxa"/>
            <w:tcMar>
              <w:top w:w="15" w:type="dxa"/>
              <w:left w:w="15" w:type="dxa"/>
              <w:bottom w:w="15" w:type="dxa"/>
              <w:right w:w="15" w:type="dxa"/>
            </w:tcMar>
            <w:vAlign w:val="center"/>
          </w:tcPr>
          <w:p w14:paraId="38B6A1C9">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9</w:t>
            </w:r>
          </w:p>
        </w:tc>
        <w:tc>
          <w:tcPr>
            <w:tcW w:w="962" w:type="dxa"/>
            <w:tcMar>
              <w:top w:w="15" w:type="dxa"/>
              <w:left w:w="15" w:type="dxa"/>
              <w:bottom w:w="15" w:type="dxa"/>
              <w:right w:w="15" w:type="dxa"/>
            </w:tcMar>
            <w:vAlign w:val="center"/>
          </w:tcPr>
          <w:p w14:paraId="51696F1D">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各</w:t>
            </w:r>
            <w:r>
              <w:rPr>
                <w:rFonts w:hint="eastAsia" w:ascii="宋体" w:hAnsi="宋体" w:cs="宋体" w:eastAsiaTheme="minorHAnsi"/>
                <w:color w:val="000000" w:themeColor="text1"/>
                <w:sz w:val="22"/>
                <w:szCs w:val="21"/>
                <w:highlight w:val="none"/>
                <w14:textFill>
                  <w14:solidFill>
                    <w14:schemeClr w14:val="tx1"/>
                  </w14:solidFill>
                </w14:textFill>
              </w:rPr>
              <w:t>级部门检查通报情况</w:t>
            </w:r>
          </w:p>
        </w:tc>
        <w:tc>
          <w:tcPr>
            <w:tcW w:w="450" w:type="dxa"/>
            <w:tcMar>
              <w:top w:w="15" w:type="dxa"/>
              <w:left w:w="15" w:type="dxa"/>
              <w:bottom w:w="15" w:type="dxa"/>
              <w:right w:w="15" w:type="dxa"/>
            </w:tcMar>
            <w:vAlign w:val="center"/>
          </w:tcPr>
          <w:p w14:paraId="54D8963B">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10</w:t>
            </w:r>
          </w:p>
        </w:tc>
        <w:tc>
          <w:tcPr>
            <w:tcW w:w="5867" w:type="dxa"/>
            <w:tcMar>
              <w:top w:w="15" w:type="dxa"/>
              <w:left w:w="15" w:type="dxa"/>
              <w:bottom w:w="15" w:type="dxa"/>
              <w:right w:w="15" w:type="dxa"/>
            </w:tcMar>
            <w:vAlign w:val="center"/>
          </w:tcPr>
          <w:p w14:paraId="14084874">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各</w:t>
            </w:r>
            <w:r>
              <w:rPr>
                <w:rFonts w:hint="eastAsia" w:ascii="宋体" w:hAnsi="宋体" w:cs="宋体" w:eastAsiaTheme="minorHAnsi"/>
                <w:color w:val="000000" w:themeColor="text1"/>
                <w:sz w:val="22"/>
                <w:szCs w:val="21"/>
                <w:highlight w:val="none"/>
                <w14:textFill>
                  <w14:solidFill>
                    <w14:schemeClr w14:val="tx1"/>
                  </w14:solidFill>
                </w14:textFill>
              </w:rPr>
              <w:t>类检查、考核、审计发现重大问题的一次扣5分，被通报批评的扣10分</w:t>
            </w:r>
          </w:p>
        </w:tc>
        <w:tc>
          <w:tcPr>
            <w:tcW w:w="567" w:type="dxa"/>
            <w:tcMar>
              <w:top w:w="15" w:type="dxa"/>
              <w:left w:w="15" w:type="dxa"/>
              <w:bottom w:w="15" w:type="dxa"/>
              <w:right w:w="15" w:type="dxa"/>
            </w:tcMar>
            <w:vAlign w:val="center"/>
          </w:tcPr>
          <w:p w14:paraId="1CD036A7">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567" w:type="dxa"/>
            <w:tcMar>
              <w:top w:w="15" w:type="dxa"/>
              <w:left w:w="15" w:type="dxa"/>
              <w:bottom w:w="15" w:type="dxa"/>
              <w:right w:w="15" w:type="dxa"/>
            </w:tcMar>
            <w:vAlign w:val="center"/>
          </w:tcPr>
          <w:p w14:paraId="7ACD5418">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r>
      <w:tr w14:paraId="22B23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9" w:type="dxa"/>
            <w:vMerge w:val="continue"/>
            <w:vAlign w:val="center"/>
          </w:tcPr>
          <w:p w14:paraId="14E2BCD5">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488" w:type="dxa"/>
            <w:tcMar>
              <w:top w:w="15" w:type="dxa"/>
              <w:left w:w="15" w:type="dxa"/>
              <w:bottom w:w="15" w:type="dxa"/>
              <w:right w:w="15" w:type="dxa"/>
            </w:tcMar>
            <w:vAlign w:val="center"/>
          </w:tcPr>
          <w:p w14:paraId="5972F15F">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0</w:t>
            </w:r>
          </w:p>
        </w:tc>
        <w:tc>
          <w:tcPr>
            <w:tcW w:w="962" w:type="dxa"/>
            <w:tcMar>
              <w:top w:w="15" w:type="dxa"/>
              <w:left w:w="15" w:type="dxa"/>
              <w:bottom w:w="15" w:type="dxa"/>
              <w:right w:w="15" w:type="dxa"/>
            </w:tcMar>
            <w:vAlign w:val="center"/>
          </w:tcPr>
          <w:p w14:paraId="29A2B9FB">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驻</w:t>
            </w:r>
            <w:r>
              <w:rPr>
                <w:rFonts w:hint="eastAsia" w:ascii="宋体" w:hAnsi="宋体" w:cs="宋体" w:eastAsiaTheme="minorHAnsi"/>
                <w:color w:val="000000" w:themeColor="text1"/>
                <w:sz w:val="22"/>
                <w:szCs w:val="21"/>
                <w:highlight w:val="none"/>
                <w14:textFill>
                  <w14:solidFill>
                    <w14:schemeClr w14:val="tx1"/>
                  </w14:solidFill>
                </w14:textFill>
              </w:rPr>
              <w:t>点运维人员考勤</w:t>
            </w:r>
          </w:p>
        </w:tc>
        <w:tc>
          <w:tcPr>
            <w:tcW w:w="450" w:type="dxa"/>
            <w:tcMar>
              <w:top w:w="15" w:type="dxa"/>
              <w:left w:w="15" w:type="dxa"/>
              <w:bottom w:w="15" w:type="dxa"/>
              <w:right w:w="15" w:type="dxa"/>
            </w:tcMar>
            <w:vAlign w:val="center"/>
          </w:tcPr>
          <w:p w14:paraId="62C59E4F">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3</w:t>
            </w:r>
          </w:p>
        </w:tc>
        <w:tc>
          <w:tcPr>
            <w:tcW w:w="5867" w:type="dxa"/>
            <w:tcMar>
              <w:top w:w="15" w:type="dxa"/>
              <w:left w:w="15" w:type="dxa"/>
              <w:bottom w:w="15" w:type="dxa"/>
              <w:right w:w="15" w:type="dxa"/>
            </w:tcMar>
            <w:vAlign w:val="center"/>
          </w:tcPr>
          <w:p w14:paraId="52572B84">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在</w:t>
            </w:r>
            <w:r>
              <w:rPr>
                <w:rFonts w:hint="eastAsia" w:ascii="宋体" w:hAnsi="宋体" w:cs="宋体" w:eastAsiaTheme="minorHAnsi"/>
                <w:color w:val="000000" w:themeColor="text1"/>
                <w:sz w:val="22"/>
                <w:szCs w:val="21"/>
                <w:highlight w:val="none"/>
                <w14:textFill>
                  <w14:solidFill>
                    <w14:schemeClr w14:val="tx1"/>
                  </w14:solidFill>
                </w14:textFill>
              </w:rPr>
              <w:t>一个考核周期内驻点人员缺勤、迟到、早退次数超过3人次的扣1分</w:t>
            </w:r>
          </w:p>
        </w:tc>
        <w:tc>
          <w:tcPr>
            <w:tcW w:w="567" w:type="dxa"/>
            <w:tcMar>
              <w:top w:w="15" w:type="dxa"/>
              <w:left w:w="15" w:type="dxa"/>
              <w:bottom w:w="15" w:type="dxa"/>
              <w:right w:w="15" w:type="dxa"/>
            </w:tcMar>
            <w:vAlign w:val="center"/>
          </w:tcPr>
          <w:p w14:paraId="752D5997">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567" w:type="dxa"/>
            <w:tcMar>
              <w:top w:w="15" w:type="dxa"/>
              <w:left w:w="15" w:type="dxa"/>
              <w:bottom w:w="15" w:type="dxa"/>
              <w:right w:w="15" w:type="dxa"/>
            </w:tcMar>
            <w:vAlign w:val="center"/>
          </w:tcPr>
          <w:p w14:paraId="67D2F29C">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r>
      <w:tr w14:paraId="3DFC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9" w:type="dxa"/>
            <w:vMerge w:val="restart"/>
            <w:tcMar>
              <w:top w:w="15" w:type="dxa"/>
              <w:left w:w="15" w:type="dxa"/>
              <w:bottom w:w="15" w:type="dxa"/>
              <w:right w:w="15" w:type="dxa"/>
            </w:tcMar>
            <w:vAlign w:val="center"/>
          </w:tcPr>
          <w:p w14:paraId="29ADAA8E">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三</w:t>
            </w:r>
            <w:r>
              <w:rPr>
                <w:rFonts w:hint="eastAsia" w:ascii="宋体" w:hAnsi="宋体" w:cs="宋体" w:eastAsiaTheme="minorHAnsi"/>
                <w:color w:val="000000" w:themeColor="text1"/>
                <w:sz w:val="22"/>
                <w:szCs w:val="21"/>
                <w:highlight w:val="none"/>
                <w14:textFill>
                  <w14:solidFill>
                    <w14:schemeClr w14:val="tx1"/>
                  </w14:solidFill>
                </w14:textFill>
              </w:rPr>
              <w:t>、运维成效（25分）</w:t>
            </w:r>
          </w:p>
        </w:tc>
        <w:tc>
          <w:tcPr>
            <w:tcW w:w="488" w:type="dxa"/>
            <w:tcMar>
              <w:top w:w="15" w:type="dxa"/>
              <w:left w:w="15" w:type="dxa"/>
              <w:bottom w:w="15" w:type="dxa"/>
              <w:right w:w="15" w:type="dxa"/>
            </w:tcMar>
            <w:vAlign w:val="center"/>
          </w:tcPr>
          <w:p w14:paraId="0674C276">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11</w:t>
            </w:r>
          </w:p>
        </w:tc>
        <w:tc>
          <w:tcPr>
            <w:tcW w:w="962" w:type="dxa"/>
            <w:tcMar>
              <w:top w:w="15" w:type="dxa"/>
              <w:left w:w="15" w:type="dxa"/>
              <w:bottom w:w="15" w:type="dxa"/>
              <w:right w:w="15" w:type="dxa"/>
            </w:tcMar>
            <w:vAlign w:val="center"/>
          </w:tcPr>
          <w:p w14:paraId="4854D72C">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故</w:t>
            </w:r>
            <w:r>
              <w:rPr>
                <w:rFonts w:hint="eastAsia" w:ascii="宋体" w:hAnsi="宋体" w:cs="宋体" w:eastAsiaTheme="minorHAnsi"/>
                <w:color w:val="000000" w:themeColor="text1"/>
                <w:sz w:val="22"/>
                <w:szCs w:val="21"/>
                <w:highlight w:val="none"/>
                <w14:textFill>
                  <w14:solidFill>
                    <w14:schemeClr w14:val="tx1"/>
                  </w14:solidFill>
                </w14:textFill>
              </w:rPr>
              <w:t>障响应与修复情况</w:t>
            </w:r>
          </w:p>
        </w:tc>
        <w:tc>
          <w:tcPr>
            <w:tcW w:w="450" w:type="dxa"/>
            <w:tcMar>
              <w:top w:w="15" w:type="dxa"/>
              <w:left w:w="15" w:type="dxa"/>
              <w:bottom w:w="15" w:type="dxa"/>
              <w:right w:w="15" w:type="dxa"/>
            </w:tcMar>
            <w:vAlign w:val="center"/>
          </w:tcPr>
          <w:p w14:paraId="79CF9690">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10</w:t>
            </w:r>
          </w:p>
        </w:tc>
        <w:tc>
          <w:tcPr>
            <w:tcW w:w="5867" w:type="dxa"/>
            <w:tcMar>
              <w:top w:w="15" w:type="dxa"/>
              <w:left w:w="15" w:type="dxa"/>
              <w:bottom w:w="15" w:type="dxa"/>
              <w:right w:w="15" w:type="dxa"/>
            </w:tcMar>
            <w:vAlign w:val="center"/>
          </w:tcPr>
          <w:p w14:paraId="2BCFFB83">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需</w:t>
            </w:r>
            <w:r>
              <w:rPr>
                <w:rFonts w:hint="eastAsia" w:ascii="宋体" w:hAnsi="宋体" w:cs="宋体" w:eastAsiaTheme="minorHAnsi"/>
                <w:color w:val="000000" w:themeColor="text1"/>
                <w:sz w:val="22"/>
                <w:szCs w:val="21"/>
                <w:highlight w:val="none"/>
                <w14:textFill>
                  <w14:solidFill>
                    <w14:schemeClr w14:val="tx1"/>
                  </w14:solidFill>
                </w14:textFill>
              </w:rPr>
              <w:t>符合招标要求，结合监控中心平台统计，每一起超时未响应扣1分，每一起超时未修复故障的扣0.5分，在一个考核周期内10分扣完为止</w:t>
            </w:r>
          </w:p>
        </w:tc>
        <w:tc>
          <w:tcPr>
            <w:tcW w:w="567" w:type="dxa"/>
            <w:tcMar>
              <w:top w:w="15" w:type="dxa"/>
              <w:left w:w="15" w:type="dxa"/>
              <w:bottom w:w="15" w:type="dxa"/>
              <w:right w:w="15" w:type="dxa"/>
            </w:tcMar>
            <w:vAlign w:val="center"/>
          </w:tcPr>
          <w:p w14:paraId="64F0AB53">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567" w:type="dxa"/>
            <w:tcMar>
              <w:top w:w="15" w:type="dxa"/>
              <w:left w:w="15" w:type="dxa"/>
              <w:bottom w:w="15" w:type="dxa"/>
              <w:right w:w="15" w:type="dxa"/>
            </w:tcMar>
            <w:vAlign w:val="center"/>
          </w:tcPr>
          <w:p w14:paraId="7FE98E14">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r>
      <w:tr w14:paraId="1E6BA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9" w:type="dxa"/>
            <w:vMerge w:val="continue"/>
            <w:vAlign w:val="center"/>
          </w:tcPr>
          <w:p w14:paraId="1C444242">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488" w:type="dxa"/>
            <w:tcMar>
              <w:top w:w="15" w:type="dxa"/>
              <w:left w:w="15" w:type="dxa"/>
              <w:bottom w:w="15" w:type="dxa"/>
              <w:right w:w="15" w:type="dxa"/>
            </w:tcMar>
            <w:vAlign w:val="center"/>
          </w:tcPr>
          <w:p w14:paraId="01AEACCE">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12</w:t>
            </w:r>
          </w:p>
        </w:tc>
        <w:tc>
          <w:tcPr>
            <w:tcW w:w="962" w:type="dxa"/>
            <w:tcMar>
              <w:top w:w="15" w:type="dxa"/>
              <w:left w:w="15" w:type="dxa"/>
              <w:bottom w:w="15" w:type="dxa"/>
              <w:right w:w="15" w:type="dxa"/>
            </w:tcMar>
            <w:vAlign w:val="center"/>
          </w:tcPr>
          <w:p w14:paraId="2528119C">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监</w:t>
            </w:r>
            <w:r>
              <w:rPr>
                <w:rFonts w:hint="eastAsia" w:ascii="宋体" w:hAnsi="宋体" w:cs="宋体" w:eastAsiaTheme="minorHAnsi"/>
                <w:color w:val="000000" w:themeColor="text1"/>
                <w:sz w:val="22"/>
                <w:szCs w:val="21"/>
                <w:highlight w:val="none"/>
                <w14:textFill>
                  <w14:solidFill>
                    <w14:schemeClr w14:val="tx1"/>
                  </w14:solidFill>
                </w14:textFill>
              </w:rPr>
              <w:t>测数据捕获率</w:t>
            </w:r>
          </w:p>
        </w:tc>
        <w:tc>
          <w:tcPr>
            <w:tcW w:w="450" w:type="dxa"/>
            <w:tcMar>
              <w:top w:w="15" w:type="dxa"/>
              <w:left w:w="15" w:type="dxa"/>
              <w:bottom w:w="15" w:type="dxa"/>
              <w:right w:w="15" w:type="dxa"/>
            </w:tcMar>
            <w:vAlign w:val="center"/>
          </w:tcPr>
          <w:p w14:paraId="0D385F0D">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5</w:t>
            </w:r>
          </w:p>
        </w:tc>
        <w:tc>
          <w:tcPr>
            <w:tcW w:w="5867" w:type="dxa"/>
            <w:tcMar>
              <w:top w:w="15" w:type="dxa"/>
              <w:left w:w="15" w:type="dxa"/>
              <w:bottom w:w="15" w:type="dxa"/>
              <w:right w:w="15" w:type="dxa"/>
            </w:tcMar>
            <w:vAlign w:val="center"/>
          </w:tcPr>
          <w:p w14:paraId="46A323E1">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在</w:t>
            </w:r>
            <w:r>
              <w:rPr>
                <w:rFonts w:hint="eastAsia" w:ascii="宋体" w:hAnsi="宋体" w:cs="宋体" w:eastAsiaTheme="minorHAnsi"/>
                <w:color w:val="000000" w:themeColor="text1"/>
                <w:sz w:val="22"/>
                <w:szCs w:val="21"/>
                <w:highlight w:val="none"/>
                <w14:textFill>
                  <w14:solidFill>
                    <w14:schemeClr w14:val="tx1"/>
                  </w14:solidFill>
                </w14:textFill>
              </w:rPr>
              <w:t>中心监控平台上统计整个考核周期的监测数据捕获率，监测数据传捕获率70%~80%，扣2分，传输有效率60%~70%，扣4分，低于60%，扣5分</w:t>
            </w:r>
          </w:p>
        </w:tc>
        <w:tc>
          <w:tcPr>
            <w:tcW w:w="567" w:type="dxa"/>
            <w:tcMar>
              <w:top w:w="15" w:type="dxa"/>
              <w:left w:w="15" w:type="dxa"/>
              <w:bottom w:w="15" w:type="dxa"/>
              <w:right w:w="15" w:type="dxa"/>
            </w:tcMar>
            <w:vAlign w:val="center"/>
          </w:tcPr>
          <w:p w14:paraId="7BA44461">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567" w:type="dxa"/>
            <w:tcMar>
              <w:top w:w="15" w:type="dxa"/>
              <w:left w:w="15" w:type="dxa"/>
              <w:bottom w:w="15" w:type="dxa"/>
              <w:right w:w="15" w:type="dxa"/>
            </w:tcMar>
            <w:vAlign w:val="center"/>
          </w:tcPr>
          <w:p w14:paraId="67E02EAD">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r>
      <w:tr w14:paraId="61D4B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9" w:type="dxa"/>
            <w:vMerge w:val="continue"/>
            <w:vAlign w:val="center"/>
          </w:tcPr>
          <w:p w14:paraId="22667AE1">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488" w:type="dxa"/>
            <w:tcMar>
              <w:top w:w="15" w:type="dxa"/>
              <w:left w:w="15" w:type="dxa"/>
              <w:bottom w:w="15" w:type="dxa"/>
              <w:right w:w="15" w:type="dxa"/>
            </w:tcMar>
            <w:vAlign w:val="center"/>
          </w:tcPr>
          <w:p w14:paraId="5084D2A5">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13</w:t>
            </w:r>
          </w:p>
        </w:tc>
        <w:tc>
          <w:tcPr>
            <w:tcW w:w="962" w:type="dxa"/>
            <w:tcMar>
              <w:top w:w="15" w:type="dxa"/>
              <w:left w:w="15" w:type="dxa"/>
              <w:bottom w:w="15" w:type="dxa"/>
              <w:right w:w="15" w:type="dxa"/>
            </w:tcMar>
            <w:vAlign w:val="center"/>
          </w:tcPr>
          <w:p w14:paraId="1291D3AB">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监</w:t>
            </w:r>
            <w:r>
              <w:rPr>
                <w:rFonts w:hint="eastAsia" w:ascii="宋体" w:hAnsi="宋体" w:cs="宋体" w:eastAsiaTheme="minorHAnsi"/>
                <w:color w:val="000000" w:themeColor="text1"/>
                <w:sz w:val="22"/>
                <w:szCs w:val="21"/>
                <w:highlight w:val="none"/>
                <w14:textFill>
                  <w14:solidFill>
                    <w14:schemeClr w14:val="tx1"/>
                  </w14:solidFill>
                </w14:textFill>
              </w:rPr>
              <w:t>测数据有效率</w:t>
            </w:r>
          </w:p>
        </w:tc>
        <w:tc>
          <w:tcPr>
            <w:tcW w:w="450" w:type="dxa"/>
            <w:tcMar>
              <w:top w:w="15" w:type="dxa"/>
              <w:left w:w="15" w:type="dxa"/>
              <w:bottom w:w="15" w:type="dxa"/>
              <w:right w:w="15" w:type="dxa"/>
            </w:tcMar>
            <w:vAlign w:val="center"/>
          </w:tcPr>
          <w:p w14:paraId="7F7204C9">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5</w:t>
            </w:r>
          </w:p>
        </w:tc>
        <w:tc>
          <w:tcPr>
            <w:tcW w:w="5867" w:type="dxa"/>
            <w:tcMar>
              <w:top w:w="15" w:type="dxa"/>
              <w:left w:w="15" w:type="dxa"/>
              <w:bottom w:w="15" w:type="dxa"/>
              <w:right w:w="15" w:type="dxa"/>
            </w:tcMar>
            <w:vAlign w:val="center"/>
          </w:tcPr>
          <w:p w14:paraId="542E7FAA">
            <w:pPr>
              <w:widowControl/>
              <w:adjustRightInd/>
              <w:spacing w:line="360" w:lineRule="auto"/>
              <w:ind w:firstLine="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在</w:t>
            </w:r>
            <w:r>
              <w:rPr>
                <w:rFonts w:hint="eastAsia" w:ascii="宋体" w:hAnsi="宋体" w:cs="宋体" w:eastAsiaTheme="minorHAnsi"/>
                <w:color w:val="000000" w:themeColor="text1"/>
                <w:sz w:val="22"/>
                <w:szCs w:val="21"/>
                <w:highlight w:val="none"/>
                <w14:textFill>
                  <w14:solidFill>
                    <w14:schemeClr w14:val="tx1"/>
                  </w14:solidFill>
                </w14:textFill>
              </w:rPr>
              <w:t>中心监控平台上统计整个考核周期的监测数据有效率，监测数据有效率70%~80%，扣2分，传输有效率60%~70%，扣4分，低于60%，扣5分</w:t>
            </w:r>
          </w:p>
        </w:tc>
        <w:tc>
          <w:tcPr>
            <w:tcW w:w="567" w:type="dxa"/>
            <w:tcMar>
              <w:top w:w="15" w:type="dxa"/>
              <w:left w:w="15" w:type="dxa"/>
              <w:bottom w:w="15" w:type="dxa"/>
              <w:right w:w="15" w:type="dxa"/>
            </w:tcMar>
            <w:vAlign w:val="center"/>
          </w:tcPr>
          <w:p w14:paraId="16E48549">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567" w:type="dxa"/>
            <w:tcMar>
              <w:top w:w="15" w:type="dxa"/>
              <w:left w:w="15" w:type="dxa"/>
              <w:bottom w:w="15" w:type="dxa"/>
              <w:right w:w="15" w:type="dxa"/>
            </w:tcMar>
            <w:vAlign w:val="center"/>
          </w:tcPr>
          <w:p w14:paraId="57DA03E8">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r>
      <w:tr w14:paraId="6A135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29" w:type="dxa"/>
            <w:vMerge w:val="continue"/>
            <w:vAlign w:val="center"/>
          </w:tcPr>
          <w:p w14:paraId="37D37C55">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488" w:type="dxa"/>
            <w:tcMar>
              <w:top w:w="15" w:type="dxa"/>
              <w:left w:w="15" w:type="dxa"/>
              <w:bottom w:w="15" w:type="dxa"/>
              <w:right w:w="15" w:type="dxa"/>
            </w:tcMar>
            <w:vAlign w:val="center"/>
          </w:tcPr>
          <w:p w14:paraId="475594EE">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14</w:t>
            </w:r>
          </w:p>
        </w:tc>
        <w:tc>
          <w:tcPr>
            <w:tcW w:w="962" w:type="dxa"/>
            <w:tcMar>
              <w:top w:w="15" w:type="dxa"/>
              <w:left w:w="15" w:type="dxa"/>
              <w:bottom w:w="15" w:type="dxa"/>
              <w:right w:w="15" w:type="dxa"/>
            </w:tcMar>
            <w:vAlign w:val="center"/>
          </w:tcPr>
          <w:p w14:paraId="393F5650">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运</w:t>
            </w:r>
            <w:r>
              <w:rPr>
                <w:rFonts w:hint="eastAsia" w:ascii="宋体" w:hAnsi="宋体" w:cs="宋体" w:eastAsiaTheme="minorHAnsi"/>
                <w:color w:val="000000" w:themeColor="text1"/>
                <w:sz w:val="22"/>
                <w:szCs w:val="21"/>
                <w:highlight w:val="none"/>
                <w14:textFill>
                  <w14:solidFill>
                    <w14:schemeClr w14:val="tx1"/>
                  </w14:solidFill>
                </w14:textFill>
              </w:rPr>
              <w:t>维台账</w:t>
            </w:r>
          </w:p>
        </w:tc>
        <w:tc>
          <w:tcPr>
            <w:tcW w:w="450" w:type="dxa"/>
            <w:tcMar>
              <w:top w:w="15" w:type="dxa"/>
              <w:left w:w="15" w:type="dxa"/>
              <w:bottom w:w="15" w:type="dxa"/>
              <w:right w:w="15" w:type="dxa"/>
            </w:tcMar>
            <w:vAlign w:val="center"/>
          </w:tcPr>
          <w:p w14:paraId="4DDF0B76">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5</w:t>
            </w:r>
          </w:p>
        </w:tc>
        <w:tc>
          <w:tcPr>
            <w:tcW w:w="5867" w:type="dxa"/>
            <w:tcMar>
              <w:top w:w="15" w:type="dxa"/>
              <w:left w:w="15" w:type="dxa"/>
              <w:bottom w:w="15" w:type="dxa"/>
              <w:right w:w="15" w:type="dxa"/>
            </w:tcMar>
            <w:vAlign w:val="center"/>
          </w:tcPr>
          <w:p w14:paraId="00C783E4">
            <w:pPr>
              <w:widowControl/>
              <w:adjustRightInd/>
              <w:spacing w:line="360" w:lineRule="auto"/>
              <w:ind w:firstLine="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在</w:t>
            </w:r>
            <w:r>
              <w:rPr>
                <w:rFonts w:hint="eastAsia" w:ascii="宋体" w:hAnsi="宋体" w:cs="宋体" w:eastAsiaTheme="minorHAnsi"/>
                <w:color w:val="000000" w:themeColor="text1"/>
                <w:sz w:val="22"/>
                <w:szCs w:val="21"/>
                <w:highlight w:val="none"/>
                <w14:textFill>
                  <w14:solidFill>
                    <w14:schemeClr w14:val="tx1"/>
                  </w14:solidFill>
                </w14:textFill>
              </w:rPr>
              <w:t>一个考核周期内统计，检查备品备件出入库、现场巡检维护、现场处理故障等记录，运维记录不全的发现一次，扣1分</w:t>
            </w:r>
          </w:p>
        </w:tc>
        <w:tc>
          <w:tcPr>
            <w:tcW w:w="567" w:type="dxa"/>
            <w:tcMar>
              <w:top w:w="15" w:type="dxa"/>
              <w:left w:w="15" w:type="dxa"/>
              <w:bottom w:w="15" w:type="dxa"/>
              <w:right w:w="15" w:type="dxa"/>
            </w:tcMar>
            <w:vAlign w:val="center"/>
          </w:tcPr>
          <w:p w14:paraId="011B6307">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567" w:type="dxa"/>
            <w:tcMar>
              <w:top w:w="15" w:type="dxa"/>
              <w:left w:w="15" w:type="dxa"/>
              <w:bottom w:w="15" w:type="dxa"/>
              <w:right w:w="15" w:type="dxa"/>
            </w:tcMar>
            <w:vAlign w:val="center"/>
          </w:tcPr>
          <w:p w14:paraId="12B2A291">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r>
      <w:tr w14:paraId="38C22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79" w:type="dxa"/>
            <w:gridSpan w:val="3"/>
            <w:tcMar>
              <w:top w:w="15" w:type="dxa"/>
              <w:left w:w="15" w:type="dxa"/>
              <w:bottom w:w="15" w:type="dxa"/>
              <w:right w:w="15" w:type="dxa"/>
            </w:tcMar>
            <w:vAlign w:val="center"/>
          </w:tcPr>
          <w:p w14:paraId="03A229CC">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总</w:t>
            </w:r>
            <w:r>
              <w:rPr>
                <w:rFonts w:hint="eastAsia" w:ascii="宋体" w:hAnsi="宋体" w:cs="宋体" w:eastAsiaTheme="minorHAnsi"/>
                <w:color w:val="000000" w:themeColor="text1"/>
                <w:sz w:val="22"/>
                <w:szCs w:val="21"/>
                <w:highlight w:val="none"/>
                <w14:textFill>
                  <w14:solidFill>
                    <w14:schemeClr w14:val="tx1"/>
                  </w14:solidFill>
                </w14:textFill>
              </w:rPr>
              <w:t>分</w:t>
            </w:r>
          </w:p>
        </w:tc>
        <w:tc>
          <w:tcPr>
            <w:tcW w:w="450" w:type="dxa"/>
            <w:tcMar>
              <w:top w:w="15" w:type="dxa"/>
              <w:left w:w="15" w:type="dxa"/>
              <w:bottom w:w="15" w:type="dxa"/>
              <w:right w:w="15" w:type="dxa"/>
            </w:tcMar>
            <w:vAlign w:val="center"/>
          </w:tcPr>
          <w:p w14:paraId="7F2A354C">
            <w:pPr>
              <w:widowControl/>
              <w:adjustRightInd/>
              <w:spacing w:line="360" w:lineRule="auto"/>
              <w:ind w:firstLine="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100</w:t>
            </w:r>
          </w:p>
        </w:tc>
        <w:tc>
          <w:tcPr>
            <w:tcW w:w="5867" w:type="dxa"/>
            <w:tcMar>
              <w:top w:w="15" w:type="dxa"/>
              <w:left w:w="15" w:type="dxa"/>
              <w:bottom w:w="15" w:type="dxa"/>
              <w:right w:w="15" w:type="dxa"/>
            </w:tcMar>
            <w:vAlign w:val="center"/>
          </w:tcPr>
          <w:p w14:paraId="114B9BAC">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567" w:type="dxa"/>
            <w:tcMar>
              <w:top w:w="15" w:type="dxa"/>
              <w:left w:w="15" w:type="dxa"/>
              <w:bottom w:w="15" w:type="dxa"/>
              <w:right w:w="15" w:type="dxa"/>
            </w:tcMar>
            <w:vAlign w:val="center"/>
          </w:tcPr>
          <w:p w14:paraId="1C9FE117">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567" w:type="dxa"/>
            <w:tcMar>
              <w:top w:w="15" w:type="dxa"/>
              <w:left w:w="15" w:type="dxa"/>
              <w:bottom w:w="15" w:type="dxa"/>
              <w:right w:w="15" w:type="dxa"/>
            </w:tcMar>
            <w:vAlign w:val="center"/>
          </w:tcPr>
          <w:p w14:paraId="3C8AED66">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r>
    </w:tbl>
    <w:p w14:paraId="0B0B39B3">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注：监测数据捕获率为所有站点单独统计后求平均值，单个站点监测数据捕获率=系统实际接收数据数量/系统应接收数据数量×100%，由于其它第三方因素（停产停运、关停搬迁、监控中心断电、通信运营商网络故障等客观因素）导致的数据缺失，成交供应商提交说明材料，由采购人管理部门确认后可剔除出系统应接收数据数量。</w:t>
      </w:r>
    </w:p>
    <w:p w14:paraId="48B13E5A">
      <w:pPr>
        <w:widowControl/>
        <w:pBdr>
          <w:top w:val="none" w:color="000000" w:sz="0" w:space="0"/>
          <w:left w:val="none" w:color="000000" w:sz="0" w:space="0"/>
          <w:bottom w:val="none" w:color="000000" w:sz="0" w:space="0"/>
          <w:right w:val="none" w:color="000000" w:sz="0" w:space="0"/>
        </w:pBdr>
        <w:adjustRightInd/>
        <w:snapToGrid/>
        <w:spacing w:after="0"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3、运维费用核算方法</w:t>
      </w:r>
    </w:p>
    <w:p w14:paraId="52B1D09F">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（1）当期考核分≥90分，正常支付，不扣减；</w:t>
      </w:r>
    </w:p>
    <w:p w14:paraId="0A9D3A0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（2）70分≤当期考核总分＜90分，扣减当期应支付运维费用的1%-20%；具体扣减规则为：当期考核分每低1分对应扣减1%，例如，当期考核总分为89分扣减1%，当期考核总分为88分扣减2%，以此类推。</w:t>
      </w:r>
    </w:p>
    <w:p w14:paraId="4CC714D3">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（3）当期考核总分＜70分，扣减当期应支付运维费用的50%，并且采购人有权解除合同。</w:t>
      </w:r>
    </w:p>
    <w:p w14:paraId="0C76C20A">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（4）在服务期限内，若乙方原因造成不良影响的(如上级部门检查不合格、通报等) 甲方有权扣除当期运维款项金额的10%。</w:t>
      </w:r>
    </w:p>
    <w:p w14:paraId="27764962">
      <w:pPr>
        <w:pStyle w:val="18"/>
        <w:ind w:firstLine="56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7FE9EEF8">
      <w:pPr>
        <w:pStyle w:val="18"/>
        <w:ind w:firstLine="56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第五章</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采购需求</w:t>
      </w:r>
    </w:p>
    <w:p w14:paraId="4C818D0A">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bookmarkStart w:id="244" w:name="_Toc502007570"/>
      <w:bookmarkStart w:id="245" w:name="_Toc504940550"/>
      <w:bookmarkStart w:id="246" w:name="_Toc502229119"/>
      <w:bookmarkStart w:id="247" w:name="_Toc505252658"/>
      <w:bookmarkStart w:id="248" w:name="_Toc504040655"/>
      <w:bookmarkStart w:id="249" w:name="_Toc505184808"/>
      <w:r>
        <w:rPr>
          <w:rFonts w:hint="eastAsia" w:ascii="宋体" w:hAnsi="宋体" w:cs="宋体"/>
          <w:color w:val="000000" w:themeColor="text1"/>
          <w:sz w:val="22"/>
          <w:szCs w:val="22"/>
          <w:highlight w:val="none"/>
          <w14:textFill>
            <w14:solidFill>
              <w14:schemeClr w14:val="tx1"/>
            </w14:solidFill>
          </w14:textFill>
        </w:rPr>
        <w:t>1.招标内容</w:t>
      </w:r>
    </w:p>
    <w:p w14:paraId="210C96A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本项目招标内容为江苏省泰兴经济开发区管理委员会通江河道水质自动监测站运维服务项目，运维服务包括站点所有设备设施的日常维护、质量控制、故障维修、年度检修与预防性维护、数据审核上报等工作，以及承担标准试剂购买、站房维护、电力和网络通讯费用。运维工作要确保各项监测仪器正常稳定运行，并接受采购人质量检查和考核。具体情况详见表1。</w:t>
      </w:r>
    </w:p>
    <w:p w14:paraId="7AFCF662">
      <w:pPr>
        <w:widowControl/>
        <w:pBdr>
          <w:top w:val="none" w:color="000000" w:sz="0" w:space="0"/>
          <w:left w:val="none" w:color="000000" w:sz="0" w:space="0"/>
          <w:bottom w:val="none" w:color="000000" w:sz="0" w:space="0"/>
          <w:right w:val="none" w:color="000000" w:sz="0" w:space="0"/>
        </w:pBdr>
        <w:adjustRightInd/>
        <w:snapToGrid/>
        <w:spacing w:line="360" w:lineRule="auto"/>
        <w:ind w:firstLine="442" w:firstLineChars="200"/>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表1监测站点及主要设备信息</w:t>
      </w:r>
    </w:p>
    <w:tbl>
      <w:tblPr>
        <w:tblStyle w:val="22"/>
        <w:tblW w:w="5000" w:type="pct"/>
        <w:jc w:val="center"/>
        <w:tblLayout w:type="autofit"/>
        <w:tblCellMar>
          <w:top w:w="0" w:type="dxa"/>
          <w:left w:w="108" w:type="dxa"/>
          <w:bottom w:w="0" w:type="dxa"/>
          <w:right w:w="108" w:type="dxa"/>
        </w:tblCellMar>
      </w:tblPr>
      <w:tblGrid>
        <w:gridCol w:w="905"/>
        <w:gridCol w:w="1965"/>
        <w:gridCol w:w="2326"/>
        <w:gridCol w:w="822"/>
        <w:gridCol w:w="824"/>
        <w:gridCol w:w="2559"/>
      </w:tblGrid>
      <w:tr w14:paraId="040A4E53">
        <w:tblPrEx>
          <w:tblCellMar>
            <w:top w:w="0" w:type="dxa"/>
            <w:left w:w="108" w:type="dxa"/>
            <w:bottom w:w="0" w:type="dxa"/>
            <w:right w:w="108" w:type="dxa"/>
          </w:tblCellMar>
        </w:tblPrEx>
        <w:trPr>
          <w:cantSplit/>
          <w:trHeight w:val="792" w:hRule="atLeast"/>
          <w:tblHeader/>
          <w:jc w:val="center"/>
        </w:trPr>
        <w:tc>
          <w:tcPr>
            <w:tcW w:w="482" w:type="pct"/>
            <w:tcBorders>
              <w:top w:val="single" w:color="auto" w:sz="4" w:space="0"/>
              <w:left w:val="single" w:color="auto" w:sz="4" w:space="0"/>
              <w:bottom w:val="single" w:color="auto" w:sz="4" w:space="0"/>
              <w:right w:val="single" w:color="auto" w:sz="4" w:space="0"/>
            </w:tcBorders>
            <w:vAlign w:val="center"/>
          </w:tcPr>
          <w:p w14:paraId="55850CC1">
            <w:pPr>
              <w:ind w:firstLine="0" w:firstLineChars="0"/>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序号</w:t>
            </w:r>
          </w:p>
        </w:tc>
        <w:tc>
          <w:tcPr>
            <w:tcW w:w="1045" w:type="pct"/>
            <w:tcBorders>
              <w:top w:val="single" w:color="auto" w:sz="4" w:space="0"/>
              <w:left w:val="single" w:color="auto" w:sz="4" w:space="0"/>
              <w:bottom w:val="single" w:color="auto" w:sz="4" w:space="0"/>
              <w:right w:val="single" w:color="auto" w:sz="4" w:space="0"/>
            </w:tcBorders>
            <w:vAlign w:val="center"/>
          </w:tcPr>
          <w:p w14:paraId="6C472B64">
            <w:pPr>
              <w:ind w:firstLine="0" w:firstLineChars="0"/>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仪器设备名称</w:t>
            </w:r>
          </w:p>
        </w:tc>
        <w:tc>
          <w:tcPr>
            <w:tcW w:w="1237" w:type="pct"/>
            <w:tcBorders>
              <w:top w:val="single" w:color="auto" w:sz="4" w:space="0"/>
              <w:left w:val="nil"/>
              <w:bottom w:val="single" w:color="auto" w:sz="4" w:space="0"/>
              <w:right w:val="single" w:color="auto" w:sz="4" w:space="0"/>
            </w:tcBorders>
            <w:vAlign w:val="center"/>
          </w:tcPr>
          <w:p w14:paraId="01588F06">
            <w:pPr>
              <w:ind w:firstLine="0" w:firstLineChars="0"/>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规格及技术参数</w:t>
            </w:r>
          </w:p>
        </w:tc>
        <w:tc>
          <w:tcPr>
            <w:tcW w:w="437" w:type="pct"/>
            <w:tcBorders>
              <w:top w:val="single" w:color="auto" w:sz="4" w:space="0"/>
              <w:left w:val="nil"/>
              <w:bottom w:val="single" w:color="auto" w:sz="4" w:space="0"/>
              <w:right w:val="single" w:color="auto" w:sz="4" w:space="0"/>
            </w:tcBorders>
            <w:vAlign w:val="center"/>
          </w:tcPr>
          <w:p w14:paraId="3D7377AD">
            <w:pPr>
              <w:ind w:firstLine="0" w:firstLineChars="0"/>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数量</w:t>
            </w:r>
          </w:p>
        </w:tc>
        <w:tc>
          <w:tcPr>
            <w:tcW w:w="438" w:type="pct"/>
            <w:tcBorders>
              <w:top w:val="single" w:color="auto" w:sz="4" w:space="0"/>
              <w:left w:val="nil"/>
              <w:bottom w:val="single" w:color="auto" w:sz="4" w:space="0"/>
              <w:right w:val="single" w:color="auto" w:sz="4" w:space="0"/>
            </w:tcBorders>
            <w:vAlign w:val="center"/>
          </w:tcPr>
          <w:p w14:paraId="11C2FEEB">
            <w:pPr>
              <w:ind w:firstLine="0" w:firstLineChars="0"/>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单位</w:t>
            </w:r>
          </w:p>
        </w:tc>
        <w:tc>
          <w:tcPr>
            <w:tcW w:w="1362" w:type="pct"/>
            <w:tcBorders>
              <w:top w:val="single" w:color="auto" w:sz="4" w:space="0"/>
              <w:left w:val="nil"/>
              <w:bottom w:val="single" w:color="auto" w:sz="4" w:space="0"/>
              <w:right w:val="single" w:color="auto" w:sz="4" w:space="0"/>
            </w:tcBorders>
            <w:vAlign w:val="center"/>
          </w:tcPr>
          <w:p w14:paraId="00BA3EDD">
            <w:pPr>
              <w:ind w:firstLine="0" w:firstLineChars="0"/>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备注</w:t>
            </w:r>
          </w:p>
        </w:tc>
      </w:tr>
      <w:tr w14:paraId="27935941">
        <w:tblPrEx>
          <w:tblCellMar>
            <w:top w:w="0" w:type="dxa"/>
            <w:left w:w="108" w:type="dxa"/>
            <w:bottom w:w="0" w:type="dxa"/>
            <w:right w:w="108" w:type="dxa"/>
          </w:tblCellMar>
        </w:tblPrEx>
        <w:trPr>
          <w:cantSplit/>
          <w:jc w:val="center"/>
        </w:trPr>
        <w:tc>
          <w:tcPr>
            <w:tcW w:w="5000" w:type="pct"/>
            <w:gridSpan w:val="6"/>
            <w:tcBorders>
              <w:top w:val="single" w:color="auto" w:sz="4" w:space="0"/>
              <w:left w:val="single" w:color="auto" w:sz="4" w:space="0"/>
              <w:bottom w:val="single" w:color="auto" w:sz="4" w:space="0"/>
              <w:right w:val="single" w:color="auto" w:sz="4" w:space="0"/>
            </w:tcBorders>
            <w:vAlign w:val="center"/>
          </w:tcPr>
          <w:p w14:paraId="1A6B75CF">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一、已建</w:t>
            </w:r>
            <w:bookmarkStart w:id="250" w:name="_Hlk190689635"/>
            <w:r>
              <w:rPr>
                <w:rFonts w:hint="eastAsia" w:ascii="宋体" w:hAnsi="宋体" w:cs="宋体"/>
                <w:color w:val="000000" w:themeColor="text1"/>
                <w:sz w:val="22"/>
                <w:szCs w:val="22"/>
                <w:highlight w:val="none"/>
                <w14:textFill>
                  <w14:solidFill>
                    <w14:schemeClr w14:val="tx1"/>
                  </w14:solidFill>
                </w14:textFill>
              </w:rPr>
              <w:t>微型水质自动监测站</w:t>
            </w:r>
            <w:bookmarkEnd w:id="250"/>
            <w:r>
              <w:rPr>
                <w:rFonts w:hint="eastAsia" w:ascii="宋体" w:hAnsi="宋体" w:cs="宋体"/>
                <w:color w:val="000000" w:themeColor="text1"/>
                <w:sz w:val="22"/>
                <w:szCs w:val="22"/>
                <w:highlight w:val="none"/>
                <w14:textFill>
                  <w14:solidFill>
                    <w14:schemeClr w14:val="tx1"/>
                  </w14:solidFill>
                </w14:textFill>
              </w:rPr>
              <w:t>2年运维服务</w:t>
            </w:r>
          </w:p>
        </w:tc>
      </w:tr>
      <w:tr w14:paraId="26B9649E">
        <w:tblPrEx>
          <w:tblCellMar>
            <w:top w:w="0" w:type="dxa"/>
            <w:left w:w="108" w:type="dxa"/>
            <w:bottom w:w="0" w:type="dxa"/>
            <w:right w:w="108" w:type="dxa"/>
          </w:tblCellMar>
        </w:tblPrEx>
        <w:trPr>
          <w:cantSplit/>
          <w:jc w:val="center"/>
        </w:trPr>
        <w:tc>
          <w:tcPr>
            <w:tcW w:w="482" w:type="pct"/>
            <w:tcBorders>
              <w:top w:val="single" w:color="auto" w:sz="4" w:space="0"/>
              <w:left w:val="single" w:color="auto" w:sz="4" w:space="0"/>
              <w:bottom w:val="single" w:color="auto" w:sz="4" w:space="0"/>
              <w:right w:val="single" w:color="auto" w:sz="4" w:space="0"/>
            </w:tcBorders>
            <w:vAlign w:val="center"/>
          </w:tcPr>
          <w:p w14:paraId="5AD3DF05">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1045" w:type="pct"/>
            <w:tcBorders>
              <w:top w:val="single" w:color="auto" w:sz="4" w:space="0"/>
              <w:left w:val="single" w:color="auto" w:sz="4" w:space="0"/>
              <w:bottom w:val="single" w:color="auto" w:sz="4" w:space="0"/>
              <w:right w:val="single" w:color="auto" w:sz="4" w:space="0"/>
            </w:tcBorders>
            <w:vAlign w:val="center"/>
          </w:tcPr>
          <w:p w14:paraId="0D1FAF04">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南京捷发、天瑞仪器微型水质监测站</w:t>
            </w:r>
          </w:p>
        </w:tc>
        <w:tc>
          <w:tcPr>
            <w:tcW w:w="1237" w:type="pct"/>
            <w:tcBorders>
              <w:top w:val="single" w:color="auto" w:sz="4" w:space="0"/>
              <w:left w:val="nil"/>
              <w:bottom w:val="single" w:color="auto" w:sz="4" w:space="0"/>
              <w:right w:val="single" w:color="auto" w:sz="4" w:space="0"/>
            </w:tcBorders>
            <w:vAlign w:val="center"/>
          </w:tcPr>
          <w:p w14:paraId="1389EB05">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分析原理：电极法，分析仪表：常规五参数分析仪、COD在线分析仪、氨氮在线分析仪；</w:t>
            </w:r>
          </w:p>
        </w:tc>
        <w:tc>
          <w:tcPr>
            <w:tcW w:w="437" w:type="pct"/>
            <w:tcBorders>
              <w:top w:val="single" w:color="auto" w:sz="4" w:space="0"/>
              <w:left w:val="nil"/>
              <w:bottom w:val="single" w:color="auto" w:sz="4" w:space="0"/>
              <w:right w:val="single" w:color="auto" w:sz="4" w:space="0"/>
            </w:tcBorders>
            <w:vAlign w:val="center"/>
          </w:tcPr>
          <w:p w14:paraId="2D09EBFE">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9</w:t>
            </w:r>
          </w:p>
        </w:tc>
        <w:tc>
          <w:tcPr>
            <w:tcW w:w="438" w:type="pct"/>
            <w:tcBorders>
              <w:top w:val="single" w:color="auto" w:sz="4" w:space="0"/>
              <w:left w:val="nil"/>
              <w:bottom w:val="single" w:color="auto" w:sz="4" w:space="0"/>
              <w:right w:val="single" w:color="auto" w:sz="4" w:space="0"/>
            </w:tcBorders>
            <w:vAlign w:val="center"/>
          </w:tcPr>
          <w:p w14:paraId="70AF4C8E">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套</w:t>
            </w:r>
          </w:p>
        </w:tc>
        <w:tc>
          <w:tcPr>
            <w:tcW w:w="1362" w:type="pct"/>
            <w:tcBorders>
              <w:top w:val="single" w:color="auto" w:sz="4" w:space="0"/>
              <w:left w:val="nil"/>
              <w:bottom w:val="single" w:color="auto" w:sz="4" w:space="0"/>
              <w:right w:val="single" w:color="auto" w:sz="4" w:space="0"/>
            </w:tcBorders>
            <w:vAlign w:val="center"/>
          </w:tcPr>
          <w:p w14:paraId="1018E943">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包含采水单元、预处理单元等配套系统集成。</w:t>
            </w:r>
          </w:p>
        </w:tc>
      </w:tr>
      <w:tr w14:paraId="29AD1D38">
        <w:tblPrEx>
          <w:tblCellMar>
            <w:top w:w="0" w:type="dxa"/>
            <w:left w:w="108" w:type="dxa"/>
            <w:bottom w:w="0" w:type="dxa"/>
            <w:right w:w="108" w:type="dxa"/>
          </w:tblCellMar>
        </w:tblPrEx>
        <w:trPr>
          <w:cantSplit/>
          <w:jc w:val="center"/>
        </w:trPr>
        <w:tc>
          <w:tcPr>
            <w:tcW w:w="482" w:type="pct"/>
            <w:tcBorders>
              <w:top w:val="single" w:color="auto" w:sz="4" w:space="0"/>
              <w:left w:val="single" w:color="auto" w:sz="4" w:space="0"/>
              <w:bottom w:val="single" w:color="auto" w:sz="4" w:space="0"/>
              <w:right w:val="single" w:color="auto" w:sz="4" w:space="0"/>
            </w:tcBorders>
            <w:vAlign w:val="center"/>
          </w:tcPr>
          <w:p w14:paraId="3155BA7F">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w:t>
            </w:r>
          </w:p>
        </w:tc>
        <w:tc>
          <w:tcPr>
            <w:tcW w:w="1045" w:type="pct"/>
            <w:tcBorders>
              <w:top w:val="single" w:color="auto" w:sz="4" w:space="0"/>
              <w:left w:val="single" w:color="auto" w:sz="4" w:space="0"/>
              <w:bottom w:val="single" w:color="auto" w:sz="4" w:space="0"/>
              <w:right w:val="single" w:color="auto" w:sz="4" w:space="0"/>
            </w:tcBorders>
            <w:vAlign w:val="center"/>
          </w:tcPr>
          <w:p w14:paraId="40E05D59">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碧兴物联微型水质监测站</w:t>
            </w:r>
          </w:p>
        </w:tc>
        <w:tc>
          <w:tcPr>
            <w:tcW w:w="1237" w:type="pct"/>
            <w:tcBorders>
              <w:top w:val="single" w:color="auto" w:sz="4" w:space="0"/>
              <w:left w:val="nil"/>
              <w:bottom w:val="single" w:color="auto" w:sz="4" w:space="0"/>
              <w:right w:val="single" w:color="auto" w:sz="4" w:space="0"/>
            </w:tcBorders>
            <w:vAlign w:val="center"/>
          </w:tcPr>
          <w:p w14:paraId="7A69F68C">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分析原理：国标法，分析仪表：常规五参数分析仪、高锰酸盐指数在线分析仪、氨氮在线分析仪、总磷在线分析仪、总氮在线分析仪</w:t>
            </w:r>
          </w:p>
        </w:tc>
        <w:tc>
          <w:tcPr>
            <w:tcW w:w="437" w:type="pct"/>
            <w:tcBorders>
              <w:top w:val="single" w:color="auto" w:sz="4" w:space="0"/>
              <w:left w:val="nil"/>
              <w:bottom w:val="single" w:color="auto" w:sz="4" w:space="0"/>
              <w:right w:val="single" w:color="auto" w:sz="4" w:space="0"/>
            </w:tcBorders>
            <w:vAlign w:val="center"/>
          </w:tcPr>
          <w:p w14:paraId="4E24432F">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w:t>
            </w:r>
          </w:p>
        </w:tc>
        <w:tc>
          <w:tcPr>
            <w:tcW w:w="438" w:type="pct"/>
            <w:tcBorders>
              <w:top w:val="single" w:color="auto" w:sz="4" w:space="0"/>
              <w:left w:val="nil"/>
              <w:bottom w:val="single" w:color="auto" w:sz="4" w:space="0"/>
              <w:right w:val="single" w:color="auto" w:sz="4" w:space="0"/>
            </w:tcBorders>
            <w:vAlign w:val="center"/>
          </w:tcPr>
          <w:p w14:paraId="60323252">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套</w:t>
            </w:r>
          </w:p>
        </w:tc>
        <w:tc>
          <w:tcPr>
            <w:tcW w:w="1362" w:type="pct"/>
            <w:tcBorders>
              <w:top w:val="single" w:color="auto" w:sz="4" w:space="0"/>
              <w:left w:val="nil"/>
              <w:bottom w:val="single" w:color="auto" w:sz="4" w:space="0"/>
              <w:right w:val="single" w:color="auto" w:sz="4" w:space="0"/>
            </w:tcBorders>
            <w:vAlign w:val="center"/>
          </w:tcPr>
          <w:p w14:paraId="00C1623D">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包含采水单元、预处理及配水单元、控制单元</w:t>
            </w:r>
          </w:p>
          <w:p w14:paraId="15E26799">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数据采集与传输单元、辅助单元、一体化柜等。</w:t>
            </w:r>
          </w:p>
        </w:tc>
      </w:tr>
      <w:tr w14:paraId="41810CC3">
        <w:tblPrEx>
          <w:tblCellMar>
            <w:top w:w="0" w:type="dxa"/>
            <w:left w:w="108" w:type="dxa"/>
            <w:bottom w:w="0" w:type="dxa"/>
            <w:right w:w="108" w:type="dxa"/>
          </w:tblCellMar>
        </w:tblPrEx>
        <w:trPr>
          <w:cantSplit/>
          <w:jc w:val="center"/>
        </w:trPr>
        <w:tc>
          <w:tcPr>
            <w:tcW w:w="5000" w:type="pct"/>
            <w:gridSpan w:val="6"/>
            <w:tcBorders>
              <w:top w:val="single" w:color="auto" w:sz="4" w:space="0"/>
              <w:left w:val="single" w:color="auto" w:sz="4" w:space="0"/>
              <w:bottom w:val="single" w:color="auto" w:sz="4" w:space="0"/>
              <w:right w:val="single" w:color="auto" w:sz="4" w:space="0"/>
            </w:tcBorders>
            <w:vAlign w:val="center"/>
          </w:tcPr>
          <w:p w14:paraId="7146BB01">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二、微型水质自动监测站建设</w:t>
            </w:r>
            <w:r>
              <w:rPr>
                <w:rFonts w:hint="eastAsia" w:ascii="宋体" w:hAnsi="宋体" w:cs="宋体"/>
                <w:color w:val="000000" w:themeColor="text1"/>
                <w:sz w:val="22"/>
                <w:szCs w:val="22"/>
                <w:highlight w:val="none"/>
                <w:lang w:eastAsia="zh-Hans"/>
                <w14:textFill>
                  <w14:solidFill>
                    <w14:schemeClr w14:val="tx1"/>
                  </w14:solidFill>
                </w14:textFill>
              </w:rPr>
              <w:t>及</w:t>
            </w:r>
            <w:r>
              <w:rPr>
                <w:rFonts w:hint="eastAsia" w:ascii="宋体" w:hAnsi="宋体" w:cs="宋体"/>
                <w:color w:val="000000" w:themeColor="text1"/>
                <w:sz w:val="22"/>
                <w:szCs w:val="22"/>
                <w:highlight w:val="none"/>
                <w14:textFill>
                  <w14:solidFill>
                    <w14:schemeClr w14:val="tx1"/>
                  </w14:solidFill>
                </w14:textFill>
              </w:rPr>
              <w:t>2</w:t>
            </w:r>
            <w:r>
              <w:rPr>
                <w:rFonts w:hint="eastAsia" w:ascii="宋体" w:hAnsi="宋体" w:cs="宋体"/>
                <w:color w:val="000000" w:themeColor="text1"/>
                <w:sz w:val="22"/>
                <w:szCs w:val="22"/>
                <w:highlight w:val="none"/>
                <w:lang w:eastAsia="zh-Hans"/>
                <w14:textFill>
                  <w14:solidFill>
                    <w14:schemeClr w14:val="tx1"/>
                  </w14:solidFill>
                </w14:textFill>
              </w:rPr>
              <w:t>年运维服务</w:t>
            </w:r>
          </w:p>
        </w:tc>
      </w:tr>
      <w:tr w14:paraId="1A8732EA">
        <w:tblPrEx>
          <w:tblCellMar>
            <w:top w:w="0" w:type="dxa"/>
            <w:left w:w="108" w:type="dxa"/>
            <w:bottom w:w="0" w:type="dxa"/>
            <w:right w:w="108" w:type="dxa"/>
          </w:tblCellMar>
        </w:tblPrEx>
        <w:trPr>
          <w:cantSplit/>
          <w:jc w:val="center"/>
        </w:trPr>
        <w:tc>
          <w:tcPr>
            <w:tcW w:w="482" w:type="pct"/>
            <w:tcBorders>
              <w:top w:val="nil"/>
              <w:left w:val="single" w:color="auto" w:sz="4" w:space="0"/>
              <w:bottom w:val="single" w:color="auto" w:sz="4" w:space="0"/>
              <w:right w:val="single" w:color="auto" w:sz="4" w:space="0"/>
            </w:tcBorders>
            <w:vAlign w:val="center"/>
          </w:tcPr>
          <w:p w14:paraId="0ED36C96">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1045" w:type="pct"/>
            <w:tcBorders>
              <w:top w:val="nil"/>
              <w:left w:val="single" w:color="auto" w:sz="4" w:space="0"/>
              <w:bottom w:val="single" w:color="auto" w:sz="4" w:space="0"/>
              <w:right w:val="single" w:color="auto" w:sz="4" w:space="0"/>
            </w:tcBorders>
            <w:vAlign w:val="center"/>
          </w:tcPr>
          <w:p w14:paraId="5FF95E81">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常规五参数在线分析仪</w:t>
            </w:r>
          </w:p>
        </w:tc>
        <w:tc>
          <w:tcPr>
            <w:tcW w:w="1237" w:type="pct"/>
            <w:tcBorders>
              <w:top w:val="nil"/>
              <w:left w:val="nil"/>
              <w:bottom w:val="single" w:color="auto" w:sz="4" w:space="0"/>
              <w:right w:val="single" w:color="auto" w:sz="4" w:space="0"/>
            </w:tcBorders>
            <w:vAlign w:val="center"/>
          </w:tcPr>
          <w:p w14:paraId="7CAB548D">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见技术要求</w:t>
            </w:r>
          </w:p>
        </w:tc>
        <w:tc>
          <w:tcPr>
            <w:tcW w:w="437" w:type="pct"/>
            <w:tcBorders>
              <w:top w:val="nil"/>
              <w:left w:val="nil"/>
              <w:bottom w:val="single" w:color="auto" w:sz="4" w:space="0"/>
              <w:right w:val="single" w:color="auto" w:sz="4" w:space="0"/>
            </w:tcBorders>
            <w:vAlign w:val="center"/>
          </w:tcPr>
          <w:p w14:paraId="53D78F52">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438" w:type="pct"/>
            <w:tcBorders>
              <w:top w:val="nil"/>
              <w:left w:val="nil"/>
              <w:bottom w:val="single" w:color="auto" w:sz="4" w:space="0"/>
              <w:right w:val="single" w:color="auto" w:sz="4" w:space="0"/>
            </w:tcBorders>
            <w:vAlign w:val="center"/>
          </w:tcPr>
          <w:p w14:paraId="0FA21E6D">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套</w:t>
            </w:r>
          </w:p>
        </w:tc>
        <w:tc>
          <w:tcPr>
            <w:tcW w:w="1362" w:type="pct"/>
            <w:tcBorders>
              <w:top w:val="nil"/>
              <w:left w:val="nil"/>
              <w:bottom w:val="single" w:color="auto" w:sz="4" w:space="0"/>
              <w:right w:val="single" w:color="auto" w:sz="4" w:space="0"/>
            </w:tcBorders>
            <w:vAlign w:val="center"/>
          </w:tcPr>
          <w:p w14:paraId="5975E2B6">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p>
        </w:tc>
      </w:tr>
      <w:tr w14:paraId="69A90ABB">
        <w:tblPrEx>
          <w:tblCellMar>
            <w:top w:w="0" w:type="dxa"/>
            <w:left w:w="108" w:type="dxa"/>
            <w:bottom w:w="0" w:type="dxa"/>
            <w:right w:w="108" w:type="dxa"/>
          </w:tblCellMar>
        </w:tblPrEx>
        <w:trPr>
          <w:cantSplit/>
          <w:jc w:val="center"/>
        </w:trPr>
        <w:tc>
          <w:tcPr>
            <w:tcW w:w="482" w:type="pct"/>
            <w:tcBorders>
              <w:top w:val="nil"/>
              <w:left w:val="single" w:color="auto" w:sz="4" w:space="0"/>
              <w:bottom w:val="single" w:color="auto" w:sz="4" w:space="0"/>
              <w:right w:val="single" w:color="auto" w:sz="4" w:space="0"/>
            </w:tcBorders>
            <w:vAlign w:val="center"/>
          </w:tcPr>
          <w:p w14:paraId="4FB909D5">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w:t>
            </w:r>
          </w:p>
        </w:tc>
        <w:tc>
          <w:tcPr>
            <w:tcW w:w="1045" w:type="pct"/>
            <w:tcBorders>
              <w:top w:val="nil"/>
              <w:left w:val="single" w:color="auto" w:sz="4" w:space="0"/>
              <w:bottom w:val="single" w:color="auto" w:sz="4" w:space="0"/>
              <w:right w:val="single" w:color="auto" w:sz="4" w:space="0"/>
            </w:tcBorders>
            <w:vAlign w:val="center"/>
          </w:tcPr>
          <w:p w14:paraId="08BB0D85">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高锰酸盐指数在线分析仪</w:t>
            </w:r>
          </w:p>
        </w:tc>
        <w:tc>
          <w:tcPr>
            <w:tcW w:w="1237" w:type="pct"/>
            <w:tcBorders>
              <w:top w:val="nil"/>
              <w:left w:val="nil"/>
              <w:bottom w:val="single" w:color="auto" w:sz="4" w:space="0"/>
              <w:right w:val="single" w:color="auto" w:sz="4" w:space="0"/>
            </w:tcBorders>
            <w:vAlign w:val="center"/>
          </w:tcPr>
          <w:p w14:paraId="0B025254">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见技术要求</w:t>
            </w:r>
          </w:p>
        </w:tc>
        <w:tc>
          <w:tcPr>
            <w:tcW w:w="437" w:type="pct"/>
            <w:tcBorders>
              <w:top w:val="nil"/>
              <w:left w:val="nil"/>
              <w:bottom w:val="single" w:color="auto" w:sz="4" w:space="0"/>
              <w:right w:val="single" w:color="auto" w:sz="4" w:space="0"/>
            </w:tcBorders>
            <w:vAlign w:val="center"/>
          </w:tcPr>
          <w:p w14:paraId="731D1E07">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438" w:type="pct"/>
            <w:tcBorders>
              <w:top w:val="nil"/>
              <w:left w:val="nil"/>
              <w:bottom w:val="single" w:color="auto" w:sz="4" w:space="0"/>
              <w:right w:val="single" w:color="auto" w:sz="4" w:space="0"/>
            </w:tcBorders>
            <w:vAlign w:val="center"/>
          </w:tcPr>
          <w:p w14:paraId="3F15F79E">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套</w:t>
            </w:r>
          </w:p>
        </w:tc>
        <w:tc>
          <w:tcPr>
            <w:tcW w:w="1362" w:type="pct"/>
            <w:tcBorders>
              <w:top w:val="nil"/>
              <w:left w:val="nil"/>
              <w:bottom w:val="single" w:color="auto" w:sz="4" w:space="0"/>
              <w:right w:val="single" w:color="auto" w:sz="4" w:space="0"/>
            </w:tcBorders>
            <w:vAlign w:val="center"/>
          </w:tcPr>
          <w:p w14:paraId="48C932A7">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p>
        </w:tc>
      </w:tr>
      <w:tr w14:paraId="233B2ED7">
        <w:tblPrEx>
          <w:tblCellMar>
            <w:top w:w="0" w:type="dxa"/>
            <w:left w:w="108" w:type="dxa"/>
            <w:bottom w:w="0" w:type="dxa"/>
            <w:right w:w="108" w:type="dxa"/>
          </w:tblCellMar>
        </w:tblPrEx>
        <w:trPr>
          <w:cantSplit/>
          <w:jc w:val="center"/>
        </w:trPr>
        <w:tc>
          <w:tcPr>
            <w:tcW w:w="482" w:type="pct"/>
            <w:tcBorders>
              <w:top w:val="nil"/>
              <w:left w:val="single" w:color="auto" w:sz="4" w:space="0"/>
              <w:bottom w:val="single" w:color="auto" w:sz="4" w:space="0"/>
              <w:right w:val="single" w:color="auto" w:sz="4" w:space="0"/>
            </w:tcBorders>
            <w:vAlign w:val="center"/>
          </w:tcPr>
          <w:p w14:paraId="150D8E83">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w:t>
            </w:r>
          </w:p>
        </w:tc>
        <w:tc>
          <w:tcPr>
            <w:tcW w:w="1045" w:type="pct"/>
            <w:tcBorders>
              <w:top w:val="nil"/>
              <w:left w:val="single" w:color="auto" w:sz="4" w:space="0"/>
              <w:bottom w:val="single" w:color="auto" w:sz="4" w:space="0"/>
              <w:right w:val="single" w:color="auto" w:sz="4" w:space="0"/>
            </w:tcBorders>
            <w:vAlign w:val="center"/>
          </w:tcPr>
          <w:p w14:paraId="4421049E">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氨氮在线分析仪</w:t>
            </w:r>
          </w:p>
        </w:tc>
        <w:tc>
          <w:tcPr>
            <w:tcW w:w="1237" w:type="pct"/>
            <w:tcBorders>
              <w:top w:val="nil"/>
              <w:left w:val="nil"/>
              <w:bottom w:val="single" w:color="auto" w:sz="4" w:space="0"/>
              <w:right w:val="single" w:color="auto" w:sz="4" w:space="0"/>
            </w:tcBorders>
            <w:vAlign w:val="center"/>
          </w:tcPr>
          <w:p w14:paraId="41BAF0BF">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见技术要求</w:t>
            </w:r>
          </w:p>
        </w:tc>
        <w:tc>
          <w:tcPr>
            <w:tcW w:w="437" w:type="pct"/>
            <w:tcBorders>
              <w:top w:val="nil"/>
              <w:left w:val="nil"/>
              <w:bottom w:val="single" w:color="auto" w:sz="4" w:space="0"/>
              <w:right w:val="single" w:color="auto" w:sz="4" w:space="0"/>
            </w:tcBorders>
            <w:vAlign w:val="center"/>
          </w:tcPr>
          <w:p w14:paraId="3BB2B6F0">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438" w:type="pct"/>
            <w:tcBorders>
              <w:top w:val="nil"/>
              <w:left w:val="nil"/>
              <w:bottom w:val="single" w:color="auto" w:sz="4" w:space="0"/>
              <w:right w:val="single" w:color="auto" w:sz="4" w:space="0"/>
            </w:tcBorders>
            <w:vAlign w:val="center"/>
          </w:tcPr>
          <w:p w14:paraId="5220F013">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套</w:t>
            </w:r>
          </w:p>
        </w:tc>
        <w:tc>
          <w:tcPr>
            <w:tcW w:w="1362" w:type="pct"/>
            <w:tcBorders>
              <w:top w:val="nil"/>
              <w:left w:val="nil"/>
              <w:bottom w:val="single" w:color="auto" w:sz="4" w:space="0"/>
              <w:right w:val="single" w:color="auto" w:sz="4" w:space="0"/>
            </w:tcBorders>
            <w:vAlign w:val="center"/>
          </w:tcPr>
          <w:p w14:paraId="54A6EF67">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p>
        </w:tc>
      </w:tr>
      <w:tr w14:paraId="65B72190">
        <w:tblPrEx>
          <w:tblCellMar>
            <w:top w:w="0" w:type="dxa"/>
            <w:left w:w="108" w:type="dxa"/>
            <w:bottom w:w="0" w:type="dxa"/>
            <w:right w:w="108" w:type="dxa"/>
          </w:tblCellMar>
        </w:tblPrEx>
        <w:trPr>
          <w:cantSplit/>
          <w:jc w:val="center"/>
        </w:trPr>
        <w:tc>
          <w:tcPr>
            <w:tcW w:w="482" w:type="pct"/>
            <w:tcBorders>
              <w:top w:val="nil"/>
              <w:left w:val="single" w:color="auto" w:sz="4" w:space="0"/>
              <w:bottom w:val="single" w:color="auto" w:sz="4" w:space="0"/>
              <w:right w:val="single" w:color="auto" w:sz="4" w:space="0"/>
            </w:tcBorders>
            <w:vAlign w:val="center"/>
          </w:tcPr>
          <w:p w14:paraId="3080C194">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w:t>
            </w:r>
          </w:p>
        </w:tc>
        <w:tc>
          <w:tcPr>
            <w:tcW w:w="1045" w:type="pct"/>
            <w:tcBorders>
              <w:top w:val="nil"/>
              <w:left w:val="single" w:color="auto" w:sz="4" w:space="0"/>
              <w:bottom w:val="single" w:color="auto" w:sz="4" w:space="0"/>
              <w:right w:val="single" w:color="auto" w:sz="4" w:space="0"/>
            </w:tcBorders>
            <w:vAlign w:val="center"/>
          </w:tcPr>
          <w:p w14:paraId="568F0B94">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总磷在线分析仪</w:t>
            </w:r>
          </w:p>
        </w:tc>
        <w:tc>
          <w:tcPr>
            <w:tcW w:w="1237" w:type="pct"/>
            <w:tcBorders>
              <w:top w:val="nil"/>
              <w:left w:val="nil"/>
              <w:bottom w:val="single" w:color="auto" w:sz="4" w:space="0"/>
              <w:right w:val="single" w:color="auto" w:sz="4" w:space="0"/>
            </w:tcBorders>
            <w:vAlign w:val="center"/>
          </w:tcPr>
          <w:p w14:paraId="48BC0B2D">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见技术要求</w:t>
            </w:r>
          </w:p>
        </w:tc>
        <w:tc>
          <w:tcPr>
            <w:tcW w:w="437" w:type="pct"/>
            <w:tcBorders>
              <w:top w:val="nil"/>
              <w:left w:val="nil"/>
              <w:bottom w:val="single" w:color="auto" w:sz="4" w:space="0"/>
              <w:right w:val="single" w:color="auto" w:sz="4" w:space="0"/>
            </w:tcBorders>
            <w:vAlign w:val="center"/>
          </w:tcPr>
          <w:p w14:paraId="71059217">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438" w:type="pct"/>
            <w:tcBorders>
              <w:top w:val="nil"/>
              <w:left w:val="nil"/>
              <w:bottom w:val="single" w:color="auto" w:sz="4" w:space="0"/>
              <w:right w:val="single" w:color="auto" w:sz="4" w:space="0"/>
            </w:tcBorders>
            <w:vAlign w:val="center"/>
          </w:tcPr>
          <w:p w14:paraId="7DC266E6">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套</w:t>
            </w:r>
          </w:p>
        </w:tc>
        <w:tc>
          <w:tcPr>
            <w:tcW w:w="1362" w:type="pct"/>
            <w:tcBorders>
              <w:top w:val="nil"/>
              <w:left w:val="nil"/>
              <w:bottom w:val="single" w:color="auto" w:sz="4" w:space="0"/>
              <w:right w:val="single" w:color="auto" w:sz="4" w:space="0"/>
            </w:tcBorders>
            <w:vAlign w:val="center"/>
          </w:tcPr>
          <w:p w14:paraId="25F29126">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p>
        </w:tc>
      </w:tr>
      <w:tr w14:paraId="1B5D1B85">
        <w:tblPrEx>
          <w:tblCellMar>
            <w:top w:w="0" w:type="dxa"/>
            <w:left w:w="108" w:type="dxa"/>
            <w:bottom w:w="0" w:type="dxa"/>
            <w:right w:w="108" w:type="dxa"/>
          </w:tblCellMar>
        </w:tblPrEx>
        <w:trPr>
          <w:cantSplit/>
          <w:jc w:val="center"/>
        </w:trPr>
        <w:tc>
          <w:tcPr>
            <w:tcW w:w="482" w:type="pct"/>
            <w:tcBorders>
              <w:top w:val="nil"/>
              <w:left w:val="single" w:color="auto" w:sz="4" w:space="0"/>
              <w:bottom w:val="single" w:color="auto" w:sz="4" w:space="0"/>
              <w:right w:val="single" w:color="auto" w:sz="4" w:space="0"/>
            </w:tcBorders>
            <w:vAlign w:val="center"/>
          </w:tcPr>
          <w:p w14:paraId="3D8F8B72">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w:t>
            </w:r>
          </w:p>
        </w:tc>
        <w:tc>
          <w:tcPr>
            <w:tcW w:w="1045" w:type="pct"/>
            <w:tcBorders>
              <w:top w:val="nil"/>
              <w:left w:val="single" w:color="auto" w:sz="4" w:space="0"/>
              <w:bottom w:val="single" w:color="auto" w:sz="4" w:space="0"/>
              <w:right w:val="single" w:color="auto" w:sz="4" w:space="0"/>
            </w:tcBorders>
            <w:vAlign w:val="center"/>
          </w:tcPr>
          <w:p w14:paraId="46E5711A">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总氮在线分析仪</w:t>
            </w:r>
          </w:p>
        </w:tc>
        <w:tc>
          <w:tcPr>
            <w:tcW w:w="1237" w:type="pct"/>
            <w:tcBorders>
              <w:top w:val="nil"/>
              <w:left w:val="nil"/>
              <w:bottom w:val="single" w:color="auto" w:sz="4" w:space="0"/>
              <w:right w:val="single" w:color="auto" w:sz="4" w:space="0"/>
            </w:tcBorders>
            <w:vAlign w:val="center"/>
          </w:tcPr>
          <w:p w14:paraId="6B30C05E">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见技术要求</w:t>
            </w:r>
          </w:p>
        </w:tc>
        <w:tc>
          <w:tcPr>
            <w:tcW w:w="437" w:type="pct"/>
            <w:tcBorders>
              <w:top w:val="nil"/>
              <w:left w:val="nil"/>
              <w:bottom w:val="single" w:color="auto" w:sz="4" w:space="0"/>
              <w:right w:val="single" w:color="auto" w:sz="4" w:space="0"/>
            </w:tcBorders>
            <w:vAlign w:val="center"/>
          </w:tcPr>
          <w:p w14:paraId="4850D2C1">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438" w:type="pct"/>
            <w:tcBorders>
              <w:top w:val="nil"/>
              <w:left w:val="nil"/>
              <w:bottom w:val="single" w:color="auto" w:sz="4" w:space="0"/>
              <w:right w:val="single" w:color="auto" w:sz="4" w:space="0"/>
            </w:tcBorders>
            <w:vAlign w:val="center"/>
          </w:tcPr>
          <w:p w14:paraId="5FB212A6">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套</w:t>
            </w:r>
          </w:p>
        </w:tc>
        <w:tc>
          <w:tcPr>
            <w:tcW w:w="1362" w:type="pct"/>
            <w:tcBorders>
              <w:top w:val="nil"/>
              <w:left w:val="nil"/>
              <w:bottom w:val="single" w:color="auto" w:sz="4" w:space="0"/>
              <w:right w:val="single" w:color="auto" w:sz="4" w:space="0"/>
            </w:tcBorders>
            <w:vAlign w:val="center"/>
          </w:tcPr>
          <w:p w14:paraId="4D8250A8">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p>
        </w:tc>
      </w:tr>
      <w:tr w14:paraId="26EDBFEF">
        <w:tblPrEx>
          <w:tblCellMar>
            <w:top w:w="0" w:type="dxa"/>
            <w:left w:w="108" w:type="dxa"/>
            <w:bottom w:w="0" w:type="dxa"/>
            <w:right w:w="108" w:type="dxa"/>
          </w:tblCellMar>
        </w:tblPrEx>
        <w:trPr>
          <w:cantSplit/>
          <w:jc w:val="center"/>
        </w:trPr>
        <w:tc>
          <w:tcPr>
            <w:tcW w:w="482" w:type="pct"/>
            <w:tcBorders>
              <w:top w:val="single" w:color="auto" w:sz="4" w:space="0"/>
              <w:left w:val="single" w:color="auto" w:sz="4" w:space="0"/>
              <w:bottom w:val="single" w:color="auto" w:sz="4" w:space="0"/>
              <w:right w:val="single" w:color="auto" w:sz="4" w:space="0"/>
            </w:tcBorders>
            <w:vAlign w:val="center"/>
          </w:tcPr>
          <w:p w14:paraId="5DF572AA">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6</w:t>
            </w:r>
          </w:p>
        </w:tc>
        <w:tc>
          <w:tcPr>
            <w:tcW w:w="1045" w:type="pct"/>
            <w:tcBorders>
              <w:top w:val="single" w:color="auto" w:sz="4" w:space="0"/>
              <w:left w:val="single" w:color="auto" w:sz="4" w:space="0"/>
              <w:bottom w:val="single" w:color="auto" w:sz="4" w:space="0"/>
              <w:right w:val="single" w:color="auto" w:sz="4" w:space="0"/>
            </w:tcBorders>
            <w:vAlign w:val="center"/>
          </w:tcPr>
          <w:p w14:paraId="2C3CCA30">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采水单元</w:t>
            </w:r>
          </w:p>
        </w:tc>
        <w:tc>
          <w:tcPr>
            <w:tcW w:w="1237" w:type="pct"/>
            <w:tcBorders>
              <w:top w:val="single" w:color="auto" w:sz="4" w:space="0"/>
              <w:left w:val="nil"/>
              <w:bottom w:val="single" w:color="auto" w:sz="4" w:space="0"/>
              <w:right w:val="single" w:color="auto" w:sz="4" w:space="0"/>
            </w:tcBorders>
            <w:vAlign w:val="center"/>
          </w:tcPr>
          <w:p w14:paraId="33255287">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见技术要求</w:t>
            </w:r>
          </w:p>
        </w:tc>
        <w:tc>
          <w:tcPr>
            <w:tcW w:w="437" w:type="pct"/>
            <w:tcBorders>
              <w:top w:val="single" w:color="auto" w:sz="4" w:space="0"/>
              <w:left w:val="nil"/>
              <w:bottom w:val="single" w:color="auto" w:sz="4" w:space="0"/>
              <w:right w:val="single" w:color="auto" w:sz="4" w:space="0"/>
            </w:tcBorders>
            <w:vAlign w:val="center"/>
          </w:tcPr>
          <w:p w14:paraId="39DBDCA3">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438" w:type="pct"/>
            <w:tcBorders>
              <w:top w:val="single" w:color="auto" w:sz="4" w:space="0"/>
              <w:left w:val="nil"/>
              <w:bottom w:val="single" w:color="auto" w:sz="4" w:space="0"/>
              <w:right w:val="single" w:color="auto" w:sz="4" w:space="0"/>
            </w:tcBorders>
            <w:vAlign w:val="center"/>
          </w:tcPr>
          <w:p w14:paraId="42AC19A7">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套</w:t>
            </w:r>
          </w:p>
        </w:tc>
        <w:tc>
          <w:tcPr>
            <w:tcW w:w="1362" w:type="pct"/>
            <w:tcBorders>
              <w:top w:val="single" w:color="auto" w:sz="4" w:space="0"/>
              <w:left w:val="nil"/>
              <w:bottom w:val="single" w:color="auto" w:sz="4" w:space="0"/>
              <w:right w:val="single" w:color="auto" w:sz="4" w:space="0"/>
            </w:tcBorders>
            <w:vAlign w:val="center"/>
          </w:tcPr>
          <w:p w14:paraId="5F60FD99">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p>
        </w:tc>
      </w:tr>
      <w:tr w14:paraId="751AA120">
        <w:tblPrEx>
          <w:tblCellMar>
            <w:top w:w="0" w:type="dxa"/>
            <w:left w:w="108" w:type="dxa"/>
            <w:bottom w:w="0" w:type="dxa"/>
            <w:right w:w="108" w:type="dxa"/>
          </w:tblCellMar>
        </w:tblPrEx>
        <w:trPr>
          <w:cantSplit/>
          <w:jc w:val="center"/>
        </w:trPr>
        <w:tc>
          <w:tcPr>
            <w:tcW w:w="482" w:type="pct"/>
            <w:tcBorders>
              <w:top w:val="single" w:color="auto" w:sz="4" w:space="0"/>
              <w:left w:val="single" w:color="auto" w:sz="4" w:space="0"/>
              <w:bottom w:val="single" w:color="auto" w:sz="4" w:space="0"/>
              <w:right w:val="single" w:color="auto" w:sz="4" w:space="0"/>
            </w:tcBorders>
            <w:vAlign w:val="center"/>
          </w:tcPr>
          <w:p w14:paraId="09E8F624">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w:t>
            </w:r>
          </w:p>
        </w:tc>
        <w:tc>
          <w:tcPr>
            <w:tcW w:w="1045" w:type="pct"/>
            <w:tcBorders>
              <w:top w:val="single" w:color="auto" w:sz="4" w:space="0"/>
              <w:left w:val="single" w:color="auto" w:sz="4" w:space="0"/>
              <w:bottom w:val="single" w:color="auto" w:sz="4" w:space="0"/>
              <w:right w:val="single" w:color="auto" w:sz="4" w:space="0"/>
            </w:tcBorders>
            <w:vAlign w:val="center"/>
          </w:tcPr>
          <w:p w14:paraId="49376D0A">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预处理及配水单元</w:t>
            </w:r>
          </w:p>
        </w:tc>
        <w:tc>
          <w:tcPr>
            <w:tcW w:w="1237" w:type="pct"/>
            <w:tcBorders>
              <w:top w:val="single" w:color="auto" w:sz="4" w:space="0"/>
              <w:left w:val="nil"/>
              <w:bottom w:val="single" w:color="auto" w:sz="4" w:space="0"/>
              <w:right w:val="single" w:color="auto" w:sz="4" w:space="0"/>
            </w:tcBorders>
            <w:vAlign w:val="center"/>
          </w:tcPr>
          <w:p w14:paraId="6E5EE7AE">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见技术要求</w:t>
            </w:r>
          </w:p>
        </w:tc>
        <w:tc>
          <w:tcPr>
            <w:tcW w:w="437" w:type="pct"/>
            <w:tcBorders>
              <w:top w:val="single" w:color="auto" w:sz="4" w:space="0"/>
              <w:left w:val="nil"/>
              <w:bottom w:val="single" w:color="auto" w:sz="4" w:space="0"/>
              <w:right w:val="single" w:color="auto" w:sz="4" w:space="0"/>
            </w:tcBorders>
            <w:vAlign w:val="center"/>
          </w:tcPr>
          <w:p w14:paraId="49EAF040">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438" w:type="pct"/>
            <w:tcBorders>
              <w:top w:val="single" w:color="auto" w:sz="4" w:space="0"/>
              <w:left w:val="nil"/>
              <w:bottom w:val="single" w:color="auto" w:sz="4" w:space="0"/>
              <w:right w:val="single" w:color="auto" w:sz="4" w:space="0"/>
            </w:tcBorders>
            <w:vAlign w:val="center"/>
          </w:tcPr>
          <w:p w14:paraId="550FB2C5">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套</w:t>
            </w:r>
          </w:p>
        </w:tc>
        <w:tc>
          <w:tcPr>
            <w:tcW w:w="1362" w:type="pct"/>
            <w:tcBorders>
              <w:top w:val="single" w:color="auto" w:sz="4" w:space="0"/>
              <w:left w:val="nil"/>
              <w:bottom w:val="single" w:color="auto" w:sz="4" w:space="0"/>
              <w:right w:val="single" w:color="auto" w:sz="4" w:space="0"/>
            </w:tcBorders>
            <w:vAlign w:val="center"/>
          </w:tcPr>
          <w:p w14:paraId="564A2281">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p>
        </w:tc>
      </w:tr>
      <w:tr w14:paraId="6943251A">
        <w:tblPrEx>
          <w:tblCellMar>
            <w:top w:w="0" w:type="dxa"/>
            <w:left w:w="108" w:type="dxa"/>
            <w:bottom w:w="0" w:type="dxa"/>
            <w:right w:w="108" w:type="dxa"/>
          </w:tblCellMar>
        </w:tblPrEx>
        <w:trPr>
          <w:cantSplit/>
          <w:jc w:val="center"/>
        </w:trPr>
        <w:tc>
          <w:tcPr>
            <w:tcW w:w="482" w:type="pct"/>
            <w:tcBorders>
              <w:top w:val="single" w:color="auto" w:sz="4" w:space="0"/>
              <w:left w:val="single" w:color="auto" w:sz="4" w:space="0"/>
              <w:bottom w:val="single" w:color="auto" w:sz="4" w:space="0"/>
              <w:right w:val="single" w:color="auto" w:sz="4" w:space="0"/>
            </w:tcBorders>
            <w:vAlign w:val="center"/>
          </w:tcPr>
          <w:p w14:paraId="19A448E8">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8</w:t>
            </w:r>
          </w:p>
        </w:tc>
        <w:tc>
          <w:tcPr>
            <w:tcW w:w="1045" w:type="pct"/>
            <w:tcBorders>
              <w:top w:val="single" w:color="auto" w:sz="4" w:space="0"/>
              <w:left w:val="single" w:color="auto" w:sz="4" w:space="0"/>
              <w:bottom w:val="single" w:color="auto" w:sz="4" w:space="0"/>
              <w:right w:val="single" w:color="auto" w:sz="4" w:space="0"/>
            </w:tcBorders>
            <w:vAlign w:val="center"/>
          </w:tcPr>
          <w:p w14:paraId="4E8D9E8F">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控制单元</w:t>
            </w:r>
          </w:p>
        </w:tc>
        <w:tc>
          <w:tcPr>
            <w:tcW w:w="1237" w:type="pct"/>
            <w:tcBorders>
              <w:top w:val="single" w:color="auto" w:sz="4" w:space="0"/>
              <w:left w:val="nil"/>
              <w:bottom w:val="single" w:color="auto" w:sz="4" w:space="0"/>
              <w:right w:val="single" w:color="auto" w:sz="4" w:space="0"/>
            </w:tcBorders>
            <w:vAlign w:val="center"/>
          </w:tcPr>
          <w:p w14:paraId="2A08A938">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见技术要求</w:t>
            </w:r>
          </w:p>
        </w:tc>
        <w:tc>
          <w:tcPr>
            <w:tcW w:w="437" w:type="pct"/>
            <w:tcBorders>
              <w:top w:val="single" w:color="auto" w:sz="4" w:space="0"/>
              <w:left w:val="nil"/>
              <w:bottom w:val="single" w:color="auto" w:sz="4" w:space="0"/>
              <w:right w:val="single" w:color="auto" w:sz="4" w:space="0"/>
            </w:tcBorders>
            <w:vAlign w:val="center"/>
          </w:tcPr>
          <w:p w14:paraId="295097F2">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438" w:type="pct"/>
            <w:tcBorders>
              <w:top w:val="single" w:color="auto" w:sz="4" w:space="0"/>
              <w:left w:val="nil"/>
              <w:bottom w:val="single" w:color="auto" w:sz="4" w:space="0"/>
              <w:right w:val="single" w:color="auto" w:sz="4" w:space="0"/>
            </w:tcBorders>
            <w:vAlign w:val="center"/>
          </w:tcPr>
          <w:p w14:paraId="13E1E726">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套</w:t>
            </w:r>
          </w:p>
        </w:tc>
        <w:tc>
          <w:tcPr>
            <w:tcW w:w="1362" w:type="pct"/>
            <w:tcBorders>
              <w:top w:val="single" w:color="auto" w:sz="4" w:space="0"/>
              <w:left w:val="nil"/>
              <w:bottom w:val="single" w:color="auto" w:sz="4" w:space="0"/>
              <w:right w:val="single" w:color="auto" w:sz="4" w:space="0"/>
            </w:tcBorders>
            <w:vAlign w:val="center"/>
          </w:tcPr>
          <w:p w14:paraId="5C6D542D">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p>
        </w:tc>
      </w:tr>
      <w:tr w14:paraId="5E6DAF31">
        <w:tblPrEx>
          <w:tblCellMar>
            <w:top w:w="0" w:type="dxa"/>
            <w:left w:w="108" w:type="dxa"/>
            <w:bottom w:w="0" w:type="dxa"/>
            <w:right w:w="108" w:type="dxa"/>
          </w:tblCellMar>
        </w:tblPrEx>
        <w:trPr>
          <w:cantSplit/>
          <w:jc w:val="center"/>
        </w:trPr>
        <w:tc>
          <w:tcPr>
            <w:tcW w:w="482" w:type="pct"/>
            <w:tcBorders>
              <w:top w:val="single" w:color="auto" w:sz="4" w:space="0"/>
              <w:left w:val="single" w:color="auto" w:sz="4" w:space="0"/>
              <w:bottom w:val="single" w:color="auto" w:sz="4" w:space="0"/>
              <w:right w:val="single" w:color="auto" w:sz="4" w:space="0"/>
            </w:tcBorders>
            <w:vAlign w:val="center"/>
          </w:tcPr>
          <w:p w14:paraId="4FF33FB8">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9</w:t>
            </w:r>
          </w:p>
        </w:tc>
        <w:tc>
          <w:tcPr>
            <w:tcW w:w="1045" w:type="pct"/>
            <w:tcBorders>
              <w:top w:val="single" w:color="auto" w:sz="4" w:space="0"/>
              <w:left w:val="single" w:color="auto" w:sz="4" w:space="0"/>
              <w:bottom w:val="single" w:color="auto" w:sz="4" w:space="0"/>
              <w:right w:val="single" w:color="auto" w:sz="4" w:space="0"/>
            </w:tcBorders>
            <w:vAlign w:val="center"/>
          </w:tcPr>
          <w:p w14:paraId="41E0578D">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数据采集与传输单元</w:t>
            </w:r>
          </w:p>
        </w:tc>
        <w:tc>
          <w:tcPr>
            <w:tcW w:w="1237" w:type="pct"/>
            <w:tcBorders>
              <w:top w:val="single" w:color="auto" w:sz="4" w:space="0"/>
              <w:left w:val="nil"/>
              <w:bottom w:val="single" w:color="auto" w:sz="4" w:space="0"/>
              <w:right w:val="single" w:color="auto" w:sz="4" w:space="0"/>
            </w:tcBorders>
            <w:vAlign w:val="center"/>
          </w:tcPr>
          <w:p w14:paraId="568B90AA">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见技术要求</w:t>
            </w:r>
          </w:p>
        </w:tc>
        <w:tc>
          <w:tcPr>
            <w:tcW w:w="437" w:type="pct"/>
            <w:tcBorders>
              <w:top w:val="single" w:color="auto" w:sz="4" w:space="0"/>
              <w:left w:val="nil"/>
              <w:bottom w:val="single" w:color="auto" w:sz="4" w:space="0"/>
              <w:right w:val="single" w:color="auto" w:sz="4" w:space="0"/>
            </w:tcBorders>
            <w:vAlign w:val="center"/>
          </w:tcPr>
          <w:p w14:paraId="4339BECC">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438" w:type="pct"/>
            <w:tcBorders>
              <w:top w:val="single" w:color="auto" w:sz="4" w:space="0"/>
              <w:left w:val="nil"/>
              <w:bottom w:val="single" w:color="auto" w:sz="4" w:space="0"/>
              <w:right w:val="single" w:color="auto" w:sz="4" w:space="0"/>
            </w:tcBorders>
            <w:vAlign w:val="center"/>
          </w:tcPr>
          <w:p w14:paraId="19596750">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套</w:t>
            </w:r>
          </w:p>
        </w:tc>
        <w:tc>
          <w:tcPr>
            <w:tcW w:w="1362" w:type="pct"/>
            <w:tcBorders>
              <w:top w:val="single" w:color="auto" w:sz="4" w:space="0"/>
              <w:left w:val="nil"/>
              <w:bottom w:val="single" w:color="auto" w:sz="4" w:space="0"/>
              <w:right w:val="single" w:color="auto" w:sz="4" w:space="0"/>
            </w:tcBorders>
            <w:vAlign w:val="center"/>
          </w:tcPr>
          <w:p w14:paraId="15DD1B51">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p>
        </w:tc>
      </w:tr>
      <w:tr w14:paraId="40AB4D1E">
        <w:tblPrEx>
          <w:tblCellMar>
            <w:top w:w="0" w:type="dxa"/>
            <w:left w:w="108" w:type="dxa"/>
            <w:bottom w:w="0" w:type="dxa"/>
            <w:right w:w="108" w:type="dxa"/>
          </w:tblCellMar>
        </w:tblPrEx>
        <w:trPr>
          <w:cantSplit/>
          <w:jc w:val="center"/>
        </w:trPr>
        <w:tc>
          <w:tcPr>
            <w:tcW w:w="482" w:type="pct"/>
            <w:tcBorders>
              <w:top w:val="single" w:color="auto" w:sz="4" w:space="0"/>
              <w:left w:val="single" w:color="auto" w:sz="4" w:space="0"/>
              <w:bottom w:val="single" w:color="auto" w:sz="4" w:space="0"/>
              <w:right w:val="single" w:color="auto" w:sz="4" w:space="0"/>
            </w:tcBorders>
            <w:vAlign w:val="center"/>
          </w:tcPr>
          <w:p w14:paraId="30E6D08E">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10</w:t>
            </w:r>
          </w:p>
        </w:tc>
        <w:tc>
          <w:tcPr>
            <w:tcW w:w="1045" w:type="pct"/>
            <w:tcBorders>
              <w:top w:val="single" w:color="auto" w:sz="4" w:space="0"/>
              <w:left w:val="single" w:color="auto" w:sz="4" w:space="0"/>
              <w:bottom w:val="single" w:color="auto" w:sz="4" w:space="0"/>
              <w:right w:val="single" w:color="auto" w:sz="4" w:space="0"/>
            </w:tcBorders>
            <w:vAlign w:val="center"/>
          </w:tcPr>
          <w:p w14:paraId="21DBA4B0">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辅助单元</w:t>
            </w:r>
          </w:p>
        </w:tc>
        <w:tc>
          <w:tcPr>
            <w:tcW w:w="1237" w:type="pct"/>
            <w:tcBorders>
              <w:top w:val="single" w:color="auto" w:sz="4" w:space="0"/>
              <w:left w:val="nil"/>
              <w:bottom w:val="single" w:color="auto" w:sz="4" w:space="0"/>
              <w:right w:val="single" w:color="auto" w:sz="4" w:space="0"/>
            </w:tcBorders>
            <w:vAlign w:val="center"/>
          </w:tcPr>
          <w:p w14:paraId="0249CA42">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见技术要求</w:t>
            </w:r>
          </w:p>
        </w:tc>
        <w:tc>
          <w:tcPr>
            <w:tcW w:w="437" w:type="pct"/>
            <w:tcBorders>
              <w:top w:val="single" w:color="auto" w:sz="4" w:space="0"/>
              <w:left w:val="nil"/>
              <w:bottom w:val="single" w:color="auto" w:sz="4" w:space="0"/>
              <w:right w:val="single" w:color="auto" w:sz="4" w:space="0"/>
            </w:tcBorders>
            <w:vAlign w:val="center"/>
          </w:tcPr>
          <w:p w14:paraId="63E1030B">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438" w:type="pct"/>
            <w:tcBorders>
              <w:top w:val="single" w:color="auto" w:sz="4" w:space="0"/>
              <w:left w:val="nil"/>
              <w:bottom w:val="single" w:color="auto" w:sz="4" w:space="0"/>
              <w:right w:val="single" w:color="auto" w:sz="4" w:space="0"/>
            </w:tcBorders>
            <w:vAlign w:val="center"/>
          </w:tcPr>
          <w:p w14:paraId="4A3E9843">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套</w:t>
            </w:r>
          </w:p>
        </w:tc>
        <w:tc>
          <w:tcPr>
            <w:tcW w:w="1362" w:type="pct"/>
            <w:tcBorders>
              <w:top w:val="single" w:color="auto" w:sz="4" w:space="0"/>
              <w:left w:val="nil"/>
              <w:bottom w:val="single" w:color="auto" w:sz="4" w:space="0"/>
              <w:right w:val="single" w:color="auto" w:sz="4" w:space="0"/>
            </w:tcBorders>
            <w:vAlign w:val="center"/>
          </w:tcPr>
          <w:p w14:paraId="5E6415F5">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p>
        </w:tc>
      </w:tr>
      <w:tr w14:paraId="3AA6CC23">
        <w:tblPrEx>
          <w:tblCellMar>
            <w:top w:w="0" w:type="dxa"/>
            <w:left w:w="108" w:type="dxa"/>
            <w:bottom w:w="0" w:type="dxa"/>
            <w:right w:w="108" w:type="dxa"/>
          </w:tblCellMar>
        </w:tblPrEx>
        <w:trPr>
          <w:cantSplit/>
          <w:jc w:val="center"/>
        </w:trPr>
        <w:tc>
          <w:tcPr>
            <w:tcW w:w="482" w:type="pct"/>
            <w:tcBorders>
              <w:top w:val="single" w:color="auto" w:sz="4" w:space="0"/>
              <w:left w:val="single" w:color="auto" w:sz="4" w:space="0"/>
              <w:bottom w:val="single" w:color="auto" w:sz="4" w:space="0"/>
              <w:right w:val="single" w:color="auto" w:sz="4" w:space="0"/>
            </w:tcBorders>
            <w:vAlign w:val="center"/>
          </w:tcPr>
          <w:p w14:paraId="06BA4E12">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11</w:t>
            </w:r>
          </w:p>
        </w:tc>
        <w:tc>
          <w:tcPr>
            <w:tcW w:w="1045" w:type="pct"/>
            <w:tcBorders>
              <w:top w:val="single" w:color="auto" w:sz="4" w:space="0"/>
              <w:left w:val="single" w:color="auto" w:sz="4" w:space="0"/>
              <w:bottom w:val="single" w:color="auto" w:sz="4" w:space="0"/>
              <w:right w:val="single" w:color="auto" w:sz="4" w:space="0"/>
            </w:tcBorders>
            <w:vAlign w:val="center"/>
          </w:tcPr>
          <w:p w14:paraId="3451B7AC">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一体化柜</w:t>
            </w:r>
          </w:p>
        </w:tc>
        <w:tc>
          <w:tcPr>
            <w:tcW w:w="1237" w:type="pct"/>
            <w:tcBorders>
              <w:top w:val="single" w:color="auto" w:sz="4" w:space="0"/>
              <w:left w:val="nil"/>
              <w:bottom w:val="single" w:color="auto" w:sz="4" w:space="0"/>
              <w:right w:val="single" w:color="auto" w:sz="4" w:space="0"/>
            </w:tcBorders>
            <w:vAlign w:val="center"/>
          </w:tcPr>
          <w:p w14:paraId="3DFFFEA0">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见技术要求</w:t>
            </w:r>
          </w:p>
        </w:tc>
        <w:tc>
          <w:tcPr>
            <w:tcW w:w="437" w:type="pct"/>
            <w:tcBorders>
              <w:top w:val="single" w:color="auto" w:sz="4" w:space="0"/>
              <w:left w:val="nil"/>
              <w:bottom w:val="single" w:color="auto" w:sz="4" w:space="0"/>
              <w:right w:val="single" w:color="auto" w:sz="4" w:space="0"/>
            </w:tcBorders>
            <w:vAlign w:val="center"/>
          </w:tcPr>
          <w:p w14:paraId="20D8225C">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438" w:type="pct"/>
            <w:tcBorders>
              <w:top w:val="single" w:color="auto" w:sz="4" w:space="0"/>
              <w:left w:val="nil"/>
              <w:bottom w:val="single" w:color="auto" w:sz="4" w:space="0"/>
              <w:right w:val="single" w:color="auto" w:sz="4" w:space="0"/>
            </w:tcBorders>
            <w:vAlign w:val="center"/>
          </w:tcPr>
          <w:p w14:paraId="1EAADBEC">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套</w:t>
            </w:r>
          </w:p>
        </w:tc>
        <w:tc>
          <w:tcPr>
            <w:tcW w:w="1362" w:type="pct"/>
            <w:tcBorders>
              <w:top w:val="single" w:color="auto" w:sz="4" w:space="0"/>
              <w:left w:val="nil"/>
              <w:bottom w:val="single" w:color="auto" w:sz="4" w:space="0"/>
              <w:right w:val="single" w:color="auto" w:sz="4" w:space="0"/>
            </w:tcBorders>
            <w:vAlign w:val="center"/>
          </w:tcPr>
          <w:p w14:paraId="1BC39E90">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p>
        </w:tc>
      </w:tr>
      <w:tr w14:paraId="567B5344">
        <w:tblPrEx>
          <w:tblCellMar>
            <w:top w:w="0" w:type="dxa"/>
            <w:left w:w="108" w:type="dxa"/>
            <w:bottom w:w="0" w:type="dxa"/>
            <w:right w:w="108" w:type="dxa"/>
          </w:tblCellMar>
        </w:tblPrEx>
        <w:trPr>
          <w:cantSplit/>
          <w:jc w:val="center"/>
        </w:trPr>
        <w:tc>
          <w:tcPr>
            <w:tcW w:w="482" w:type="pct"/>
            <w:tcBorders>
              <w:top w:val="single" w:color="auto" w:sz="4" w:space="0"/>
              <w:left w:val="single" w:color="auto" w:sz="4" w:space="0"/>
              <w:bottom w:val="single" w:color="auto" w:sz="4" w:space="0"/>
              <w:right w:val="single" w:color="auto" w:sz="4" w:space="0"/>
            </w:tcBorders>
            <w:vAlign w:val="center"/>
          </w:tcPr>
          <w:p w14:paraId="2BF21BAE">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12</w:t>
            </w:r>
          </w:p>
        </w:tc>
        <w:tc>
          <w:tcPr>
            <w:tcW w:w="1045" w:type="pct"/>
            <w:tcBorders>
              <w:top w:val="single" w:color="auto" w:sz="4" w:space="0"/>
              <w:left w:val="single" w:color="auto" w:sz="4" w:space="0"/>
              <w:bottom w:val="single" w:color="auto" w:sz="4" w:space="0"/>
              <w:right w:val="single" w:color="auto" w:sz="4" w:space="0"/>
            </w:tcBorders>
            <w:vAlign w:val="center"/>
          </w:tcPr>
          <w:p w14:paraId="021CA833">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安装、调试</w:t>
            </w:r>
          </w:p>
        </w:tc>
        <w:tc>
          <w:tcPr>
            <w:tcW w:w="1237" w:type="pct"/>
            <w:tcBorders>
              <w:top w:val="single" w:color="auto" w:sz="4" w:space="0"/>
              <w:left w:val="nil"/>
              <w:bottom w:val="single" w:color="auto" w:sz="4" w:space="0"/>
              <w:right w:val="single" w:color="auto" w:sz="4" w:space="0"/>
            </w:tcBorders>
            <w:vAlign w:val="center"/>
          </w:tcPr>
          <w:p w14:paraId="206D52AB">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见技术要求</w:t>
            </w:r>
          </w:p>
        </w:tc>
        <w:tc>
          <w:tcPr>
            <w:tcW w:w="437" w:type="pct"/>
            <w:tcBorders>
              <w:top w:val="single" w:color="auto" w:sz="4" w:space="0"/>
              <w:left w:val="nil"/>
              <w:bottom w:val="single" w:color="auto" w:sz="4" w:space="0"/>
              <w:right w:val="single" w:color="auto" w:sz="4" w:space="0"/>
            </w:tcBorders>
            <w:vAlign w:val="center"/>
          </w:tcPr>
          <w:p w14:paraId="1D092F0F">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p>
        </w:tc>
        <w:tc>
          <w:tcPr>
            <w:tcW w:w="438" w:type="pct"/>
            <w:tcBorders>
              <w:top w:val="single" w:color="auto" w:sz="4" w:space="0"/>
              <w:left w:val="nil"/>
              <w:bottom w:val="single" w:color="auto" w:sz="4" w:space="0"/>
              <w:right w:val="single" w:color="auto" w:sz="4" w:space="0"/>
            </w:tcBorders>
            <w:vAlign w:val="center"/>
          </w:tcPr>
          <w:p w14:paraId="045F2121">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w:t>
            </w:r>
          </w:p>
        </w:tc>
        <w:tc>
          <w:tcPr>
            <w:tcW w:w="1362" w:type="pct"/>
            <w:tcBorders>
              <w:top w:val="single" w:color="auto" w:sz="4" w:space="0"/>
              <w:left w:val="nil"/>
              <w:bottom w:val="single" w:color="auto" w:sz="4" w:space="0"/>
              <w:right w:val="single" w:color="auto" w:sz="4" w:space="0"/>
            </w:tcBorders>
            <w:vAlign w:val="center"/>
          </w:tcPr>
          <w:p w14:paraId="508697D3">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p>
        </w:tc>
      </w:tr>
      <w:tr w14:paraId="0CA2E1FA">
        <w:tblPrEx>
          <w:tblCellMar>
            <w:top w:w="0" w:type="dxa"/>
            <w:left w:w="108" w:type="dxa"/>
            <w:bottom w:w="0" w:type="dxa"/>
            <w:right w:w="108" w:type="dxa"/>
          </w:tblCellMar>
        </w:tblPrEx>
        <w:trPr>
          <w:cantSplit/>
          <w:jc w:val="center"/>
        </w:trPr>
        <w:tc>
          <w:tcPr>
            <w:tcW w:w="482" w:type="pct"/>
            <w:tcBorders>
              <w:top w:val="single" w:color="auto" w:sz="4" w:space="0"/>
              <w:left w:val="single" w:color="auto" w:sz="4" w:space="0"/>
              <w:bottom w:val="single" w:color="auto" w:sz="4" w:space="0"/>
              <w:right w:val="single" w:color="auto" w:sz="4" w:space="0"/>
            </w:tcBorders>
            <w:vAlign w:val="center"/>
          </w:tcPr>
          <w:p w14:paraId="54363AD5">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13</w:t>
            </w:r>
          </w:p>
        </w:tc>
        <w:tc>
          <w:tcPr>
            <w:tcW w:w="1045" w:type="pct"/>
            <w:tcBorders>
              <w:top w:val="single" w:color="auto" w:sz="4" w:space="0"/>
              <w:left w:val="single" w:color="auto" w:sz="4" w:space="0"/>
              <w:bottom w:val="single" w:color="auto" w:sz="4" w:space="0"/>
              <w:right w:val="single" w:color="auto" w:sz="4" w:space="0"/>
            </w:tcBorders>
            <w:vAlign w:val="center"/>
          </w:tcPr>
          <w:p w14:paraId="3F7BE322">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运维服务</w:t>
            </w:r>
          </w:p>
        </w:tc>
        <w:tc>
          <w:tcPr>
            <w:tcW w:w="1237" w:type="pct"/>
            <w:tcBorders>
              <w:top w:val="single" w:color="auto" w:sz="4" w:space="0"/>
              <w:left w:val="nil"/>
              <w:bottom w:val="single" w:color="auto" w:sz="4" w:space="0"/>
              <w:right w:val="single" w:color="auto" w:sz="4" w:space="0"/>
            </w:tcBorders>
            <w:vAlign w:val="center"/>
          </w:tcPr>
          <w:p w14:paraId="0EC55C75">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见技术要求</w:t>
            </w:r>
          </w:p>
        </w:tc>
        <w:tc>
          <w:tcPr>
            <w:tcW w:w="437" w:type="pct"/>
            <w:tcBorders>
              <w:top w:val="single" w:color="auto" w:sz="4" w:space="0"/>
              <w:left w:val="nil"/>
              <w:bottom w:val="single" w:color="auto" w:sz="4" w:space="0"/>
              <w:right w:val="single" w:color="auto" w:sz="4" w:space="0"/>
            </w:tcBorders>
            <w:vAlign w:val="center"/>
          </w:tcPr>
          <w:p w14:paraId="4478A475">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w:t>
            </w:r>
          </w:p>
        </w:tc>
        <w:tc>
          <w:tcPr>
            <w:tcW w:w="438" w:type="pct"/>
            <w:tcBorders>
              <w:top w:val="single" w:color="auto" w:sz="4" w:space="0"/>
              <w:left w:val="nil"/>
              <w:bottom w:val="single" w:color="auto" w:sz="4" w:space="0"/>
              <w:right w:val="single" w:color="auto" w:sz="4" w:space="0"/>
            </w:tcBorders>
            <w:vAlign w:val="center"/>
          </w:tcPr>
          <w:p w14:paraId="6349FFEF">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年</w:t>
            </w:r>
          </w:p>
        </w:tc>
        <w:tc>
          <w:tcPr>
            <w:tcW w:w="1362" w:type="pct"/>
            <w:tcBorders>
              <w:top w:val="single" w:color="auto" w:sz="4" w:space="0"/>
              <w:left w:val="nil"/>
              <w:bottom w:val="single" w:color="auto" w:sz="4" w:space="0"/>
              <w:right w:val="single" w:color="auto" w:sz="4" w:space="0"/>
            </w:tcBorders>
            <w:vAlign w:val="center"/>
          </w:tcPr>
          <w:p w14:paraId="28EC4F17">
            <w:pPr>
              <w:widowControl/>
              <w:pBdr>
                <w:top w:val="none" w:color="000000" w:sz="0" w:space="0"/>
                <w:left w:val="none" w:color="000000" w:sz="0" w:space="0"/>
                <w:bottom w:val="none" w:color="000000" w:sz="0" w:space="0"/>
                <w:right w:val="none" w:color="000000" w:sz="0" w:space="0"/>
              </w:pBdr>
              <w:adjustRightInd/>
              <w:snapToGrid/>
              <w:spacing w:line="279" w:lineRule="atLeast"/>
              <w:ind w:firstLine="220" w:firstLineChars="0"/>
              <w:jc w:val="left"/>
              <w:rPr>
                <w:rFonts w:hint="eastAsia" w:ascii="宋体" w:hAnsi="宋体" w:cs="宋体"/>
                <w:color w:val="000000" w:themeColor="text1"/>
                <w:sz w:val="22"/>
                <w:szCs w:val="22"/>
                <w:highlight w:val="none"/>
                <w:lang w:eastAsia="zh-Hans"/>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w:t>
            </w:r>
          </w:p>
        </w:tc>
      </w:tr>
      <w:bookmarkEnd w:id="244"/>
      <w:bookmarkEnd w:id="245"/>
      <w:bookmarkEnd w:id="246"/>
      <w:bookmarkEnd w:id="247"/>
      <w:bookmarkEnd w:id="248"/>
      <w:bookmarkEnd w:id="249"/>
    </w:tbl>
    <w:p w14:paraId="5FC3E545">
      <w:pPr>
        <w:pStyle w:val="5"/>
        <w:spacing w:line="240" w:lineRule="auto"/>
        <w:ind w:firstLine="0" w:firstLineChars="0"/>
        <w:jc w:val="both"/>
        <w:rPr>
          <w:rFonts w:hint="eastAsia" w:ascii="宋体" w:hAnsi="宋体" w:cs="宋体"/>
          <w:color w:val="000000" w:themeColor="text1"/>
          <w:kern w:val="0"/>
          <w:sz w:val="22"/>
          <w:szCs w:val="22"/>
          <w:highlight w:val="none"/>
          <w14:textFill>
            <w14:solidFill>
              <w14:schemeClr w14:val="tx1"/>
            </w14:solidFill>
          </w14:textFill>
        </w:rPr>
      </w:pPr>
      <w:bookmarkStart w:id="251" w:name="_Toc504940820"/>
      <w:bookmarkEnd w:id="251"/>
      <w:bookmarkStart w:id="252" w:name="_Toc504927324"/>
      <w:bookmarkEnd w:id="252"/>
      <w:bookmarkStart w:id="253" w:name="_Toc504927086"/>
      <w:bookmarkEnd w:id="253"/>
      <w:bookmarkStart w:id="254" w:name="_Toc504940560"/>
      <w:bookmarkEnd w:id="254"/>
      <w:bookmarkStart w:id="255" w:name="_Toc504940696"/>
      <w:bookmarkEnd w:id="255"/>
      <w:bookmarkStart w:id="256" w:name="_Toc504927075"/>
      <w:bookmarkEnd w:id="256"/>
      <w:bookmarkStart w:id="257" w:name="_Toc504940571"/>
      <w:bookmarkEnd w:id="257"/>
      <w:bookmarkStart w:id="258" w:name="_Toc504927090"/>
      <w:bookmarkEnd w:id="258"/>
      <w:bookmarkStart w:id="259" w:name="_Toc504940575"/>
      <w:bookmarkEnd w:id="259"/>
      <w:bookmarkStart w:id="260" w:name="_Toc504927073"/>
      <w:bookmarkEnd w:id="260"/>
      <w:bookmarkStart w:id="261" w:name="_Toc504940810"/>
      <w:bookmarkEnd w:id="261"/>
      <w:bookmarkStart w:id="262" w:name="_Toc504927368"/>
      <w:bookmarkEnd w:id="262"/>
      <w:bookmarkStart w:id="263" w:name="_Toc504940557"/>
      <w:bookmarkEnd w:id="263"/>
      <w:bookmarkStart w:id="264" w:name="_Toc504927142"/>
      <w:bookmarkEnd w:id="264"/>
      <w:bookmarkStart w:id="265" w:name="_Toc504927275"/>
      <w:bookmarkEnd w:id="265"/>
      <w:bookmarkStart w:id="266" w:name="_Toc504940662"/>
      <w:bookmarkEnd w:id="266"/>
      <w:bookmarkStart w:id="267" w:name="_Toc504940572"/>
      <w:bookmarkEnd w:id="267"/>
      <w:bookmarkStart w:id="268" w:name="_Toc504940576"/>
      <w:bookmarkEnd w:id="268"/>
      <w:bookmarkStart w:id="269" w:name="_Toc504927088"/>
      <w:bookmarkEnd w:id="269"/>
      <w:bookmarkStart w:id="270" w:name="_Toc504940559"/>
      <w:bookmarkEnd w:id="270"/>
      <w:bookmarkStart w:id="271" w:name="_Toc504940558"/>
      <w:bookmarkEnd w:id="271"/>
      <w:bookmarkStart w:id="272" w:name="_Toc504927241"/>
      <w:bookmarkEnd w:id="272"/>
      <w:bookmarkStart w:id="273" w:name="_Toc504940563"/>
      <w:bookmarkEnd w:id="273"/>
      <w:bookmarkStart w:id="274" w:name="_Toc504927083"/>
      <w:bookmarkEnd w:id="274"/>
      <w:bookmarkStart w:id="275" w:name="_Toc504940727"/>
      <w:bookmarkEnd w:id="275"/>
      <w:bookmarkStart w:id="276" w:name="_Toc504927084"/>
      <w:bookmarkEnd w:id="276"/>
      <w:bookmarkStart w:id="277" w:name="_Toc504927089"/>
      <w:bookmarkEnd w:id="277"/>
      <w:bookmarkStart w:id="278" w:name="_Toc504927074"/>
      <w:bookmarkEnd w:id="278"/>
      <w:bookmarkStart w:id="279" w:name="_Toc504940577"/>
      <w:bookmarkEnd w:id="279"/>
      <w:bookmarkStart w:id="280" w:name="_Toc504927070"/>
      <w:bookmarkEnd w:id="280"/>
      <w:bookmarkStart w:id="281" w:name="_Toc504927176"/>
      <w:bookmarkEnd w:id="281"/>
      <w:bookmarkStart w:id="282" w:name="_Toc504927334"/>
      <w:bookmarkEnd w:id="282"/>
      <w:bookmarkStart w:id="283" w:name="_Toc504927069"/>
      <w:bookmarkEnd w:id="283"/>
      <w:bookmarkStart w:id="284" w:name="_Toc504927077"/>
      <w:bookmarkEnd w:id="284"/>
      <w:bookmarkStart w:id="285" w:name="_Toc504927092"/>
      <w:bookmarkEnd w:id="285"/>
      <w:bookmarkStart w:id="286" w:name="_Toc504940565"/>
      <w:bookmarkEnd w:id="286"/>
      <w:bookmarkStart w:id="287" w:name="_Toc504927076"/>
      <w:bookmarkEnd w:id="287"/>
      <w:bookmarkStart w:id="288" w:name="_Toc504927082"/>
      <w:bookmarkEnd w:id="288"/>
      <w:bookmarkStart w:id="289" w:name="_Toc504927081"/>
      <w:bookmarkEnd w:id="289"/>
      <w:bookmarkStart w:id="290" w:name="_Toc504927310"/>
      <w:bookmarkEnd w:id="290"/>
      <w:bookmarkStart w:id="291" w:name="_Toc504940561"/>
      <w:bookmarkEnd w:id="291"/>
      <w:bookmarkStart w:id="292" w:name="_Toc504940910"/>
      <w:bookmarkEnd w:id="292"/>
      <w:bookmarkStart w:id="293" w:name="_Toc504940568"/>
      <w:bookmarkEnd w:id="293"/>
      <w:bookmarkStart w:id="294" w:name="_Toc504940785"/>
      <w:bookmarkEnd w:id="294"/>
      <w:bookmarkStart w:id="295" w:name="_Toc504927085"/>
      <w:bookmarkEnd w:id="295"/>
      <w:bookmarkStart w:id="296" w:name="_Toc504927091"/>
      <w:bookmarkEnd w:id="296"/>
      <w:bookmarkStart w:id="297" w:name="_Toc504940854"/>
      <w:bookmarkEnd w:id="297"/>
      <w:bookmarkStart w:id="298" w:name="_Toc504940554"/>
      <w:bookmarkEnd w:id="298"/>
      <w:bookmarkStart w:id="299" w:name="_Toc504927079"/>
      <w:bookmarkEnd w:id="299"/>
      <w:bookmarkStart w:id="300" w:name="_Toc504940564"/>
      <w:bookmarkEnd w:id="300"/>
      <w:bookmarkStart w:id="301" w:name="_Toc504940597"/>
      <w:bookmarkEnd w:id="301"/>
      <w:bookmarkStart w:id="302" w:name="_Toc504940761"/>
      <w:bookmarkEnd w:id="302"/>
      <w:bookmarkStart w:id="303" w:name="_Toc504940555"/>
      <w:bookmarkEnd w:id="303"/>
      <w:bookmarkStart w:id="304" w:name="_Toc504927087"/>
      <w:bookmarkEnd w:id="304"/>
      <w:bookmarkStart w:id="305" w:name="_Toc504927402"/>
      <w:bookmarkEnd w:id="305"/>
      <w:bookmarkStart w:id="306" w:name="_Toc504940569"/>
      <w:bookmarkEnd w:id="306"/>
      <w:bookmarkStart w:id="307" w:name="_Toc504940573"/>
      <w:bookmarkEnd w:id="307"/>
      <w:bookmarkStart w:id="308" w:name="_Toc504940567"/>
      <w:bookmarkEnd w:id="308"/>
      <w:bookmarkStart w:id="309" w:name="_Toc504940578"/>
      <w:bookmarkEnd w:id="309"/>
      <w:bookmarkStart w:id="310" w:name="_Toc504940574"/>
      <w:bookmarkEnd w:id="310"/>
      <w:bookmarkStart w:id="311" w:name="_Toc504927072"/>
      <w:bookmarkEnd w:id="311"/>
      <w:bookmarkStart w:id="312" w:name="_Toc504940796"/>
      <w:bookmarkEnd w:id="312"/>
      <w:bookmarkStart w:id="313" w:name="_Toc504927068"/>
      <w:bookmarkEnd w:id="313"/>
      <w:bookmarkStart w:id="314" w:name="_Toc504927210"/>
      <w:bookmarkEnd w:id="314"/>
      <w:bookmarkStart w:id="315" w:name="_Toc504940553"/>
      <w:bookmarkEnd w:id="315"/>
      <w:bookmarkStart w:id="316" w:name="_Toc504927295"/>
      <w:bookmarkEnd w:id="316"/>
      <w:bookmarkStart w:id="317" w:name="_Toc504940781"/>
      <w:bookmarkEnd w:id="317"/>
      <w:bookmarkStart w:id="318" w:name="_Toc504927299"/>
      <w:bookmarkEnd w:id="318"/>
      <w:bookmarkStart w:id="319" w:name="_Toc504940556"/>
      <w:bookmarkEnd w:id="319"/>
      <w:bookmarkStart w:id="320" w:name="_Toc504940628"/>
      <w:bookmarkEnd w:id="320"/>
      <w:bookmarkStart w:id="321" w:name="_Toc504927424"/>
      <w:bookmarkEnd w:id="321"/>
      <w:bookmarkStart w:id="322" w:name="_Toc504927111"/>
      <w:bookmarkEnd w:id="322"/>
      <w:bookmarkStart w:id="323" w:name="_Toc504927071"/>
      <w:bookmarkEnd w:id="323"/>
      <w:bookmarkStart w:id="324" w:name="_Toc504927078"/>
      <w:bookmarkEnd w:id="324"/>
      <w:bookmarkStart w:id="325" w:name="_Toc504940570"/>
      <w:bookmarkEnd w:id="325"/>
      <w:bookmarkStart w:id="326" w:name="_Toc504940562"/>
      <w:bookmarkEnd w:id="326"/>
      <w:bookmarkStart w:id="327" w:name="_Toc504940888"/>
      <w:bookmarkEnd w:id="327"/>
      <w:bookmarkStart w:id="328" w:name="_Toc505252694"/>
      <w:bookmarkStart w:id="329" w:name="_Toc505184845"/>
      <w:r>
        <w:rPr>
          <w:rFonts w:hint="eastAsia" w:ascii="宋体" w:hAnsi="宋体" w:cs="宋体"/>
          <w:color w:val="000000" w:themeColor="text1"/>
          <w:kern w:val="0"/>
          <w:sz w:val="22"/>
          <w:szCs w:val="22"/>
          <w:highlight w:val="none"/>
          <w14:textFill>
            <w14:solidFill>
              <w14:schemeClr w14:val="tx1"/>
            </w14:solidFill>
          </w14:textFill>
        </w:rPr>
        <w:t>运维服务期限：运维服务期为2年，以合同规定日期为准；</w:t>
      </w:r>
    </w:p>
    <w:p w14:paraId="793F83C5">
      <w:pPr>
        <w:pStyle w:val="5"/>
        <w:spacing w:line="240" w:lineRule="auto"/>
        <w:ind w:firstLine="0" w:firstLineChars="0"/>
        <w:rPr>
          <w:rFonts w:hint="eastAsia" w:ascii="宋体" w:hAnsi="宋体" w:cs="宋体"/>
          <w:color w:val="000000" w:themeColor="text1"/>
          <w:kern w:val="0"/>
          <w:sz w:val="22"/>
          <w:szCs w:val="22"/>
          <w:highlight w:val="none"/>
          <w14:textFill>
            <w14:solidFill>
              <w14:schemeClr w14:val="tx1"/>
            </w14:solidFill>
          </w14:textFill>
        </w:rPr>
      </w:pPr>
      <w:r>
        <w:rPr>
          <w:rFonts w:hint="eastAsia" w:ascii="宋体" w:hAnsi="宋体" w:cs="宋体"/>
          <w:color w:val="000000" w:themeColor="text1"/>
          <w:kern w:val="0"/>
          <w:sz w:val="22"/>
          <w:szCs w:val="22"/>
          <w:highlight w:val="none"/>
          <w14:textFill>
            <w14:solidFill>
              <w14:schemeClr w14:val="tx1"/>
            </w14:solidFill>
          </w14:textFill>
        </w:rPr>
        <w:t>机构、人员、车辆、设备配备要求</w:t>
      </w:r>
    </w:p>
    <w:p w14:paraId="14AF1880">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1、投标人具有环境保护监测相关运行服务能力，具备完善的系统配件供应渠道，具备完善的仪表配件供应渠道。成交供应商应在项目所在地泰兴市内设立运维技术支持机构。</w:t>
      </w:r>
    </w:p>
    <w:p w14:paraId="1C4BAAC3">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投标人应在具备一定数量的相关领域的技术人才；投标人应具备水质自动监测系统运营及管理的人才、技术；同时具备相当的能力和条件，专门针对本项目的维护技术人员不少于4名，维护专用车辆不少于1辆，保证本项目维护工作的质量以及突发事件的应急处理能力。</w:t>
      </w:r>
    </w:p>
    <w:p w14:paraId="1DE2C087">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投标人应至少配备水质自动监测系统的分析仪表备用机1套（至少覆盖高猛酸盐指数在线分析仪、氨氮在线分析仪、总磷在线分析仪、总氮在线分析仪），在仪表发生故障不能在短期内维修时可直接使用备用机替代工作。</w:t>
      </w:r>
    </w:p>
    <w:p w14:paraId="1F00ABA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4、成交供应商负责运营过程中产生的所有零配件及耗品耗材的更换,费用由成交供应商承担。</w:t>
      </w:r>
    </w:p>
    <w:p w14:paraId="77C6BAE6">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投标人需具备完善的仪器设备配件供应渠道，为保证本次项目所有仪器设备所使用的备品备件是原厂原装正品，供应商承诺本项目所有仪器设备所使用的备品备件为从正当渠道购置的原厂原装正品。若成交后提供非原厂原装正品导致仪器设备损坏或影响项目进行的，采购人有权要求供应商赔偿损失并追究其相关责任。</w:t>
      </w:r>
    </w:p>
    <w:p w14:paraId="1DFD0C75">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6、成交供应商承担水站的水、电费和网络通讯费。</w:t>
      </w:r>
    </w:p>
    <w:p w14:paraId="0FD3A49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7、对参与本项目运营维护服务工作人员均需按有关规定与其签订劳动合同和购买社保、医保和工伤保险等。</w:t>
      </w:r>
    </w:p>
    <w:p w14:paraId="455D3421">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8、成交供应商应积极配合采购人做好接受各级管理部门的检查、监督工作，并无偿提供与其工作有关的资料、信息等。</w:t>
      </w:r>
    </w:p>
    <w:p w14:paraId="23A5AD95">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9、参与履行运营维护服务本项目的所有人员，对工作中所涉的数据、资料及文件等负有保密义务，未经用户方同意，不得向第三方泄露。</w:t>
      </w:r>
    </w:p>
    <w:bookmarkEnd w:id="328"/>
    <w:bookmarkEnd w:id="329"/>
    <w:p w14:paraId="2600ED92">
      <w:pPr>
        <w:pStyle w:val="5"/>
        <w:spacing w:line="240" w:lineRule="auto"/>
        <w:ind w:firstLine="0" w:firstLineChars="0"/>
        <w:rPr>
          <w:rFonts w:hint="eastAsia" w:ascii="宋体" w:hAnsi="宋体" w:cs="宋体"/>
          <w:color w:val="000000" w:themeColor="text1"/>
          <w:kern w:val="0"/>
          <w:sz w:val="22"/>
          <w:szCs w:val="22"/>
          <w:highlight w:val="none"/>
          <w14:textFill>
            <w14:solidFill>
              <w14:schemeClr w14:val="tx1"/>
            </w14:solidFill>
          </w14:textFill>
        </w:rPr>
      </w:pPr>
      <w:bookmarkStart w:id="330" w:name="_Toc505252695"/>
      <w:bookmarkStart w:id="331" w:name="_Toc504940956"/>
      <w:bookmarkStart w:id="332" w:name="_Toc505184846"/>
      <w:bookmarkStart w:id="333" w:name="_Toc504768967"/>
      <w:r>
        <w:rPr>
          <w:rFonts w:hint="eastAsia" w:ascii="宋体" w:hAnsi="宋体" w:cs="宋体"/>
          <w:color w:val="000000" w:themeColor="text1"/>
          <w:kern w:val="0"/>
          <w:sz w:val="22"/>
          <w:szCs w:val="22"/>
          <w:highlight w:val="none"/>
          <w14:textFill>
            <w14:solidFill>
              <w14:schemeClr w14:val="tx1"/>
            </w14:solidFill>
          </w14:textFill>
        </w:rPr>
        <w:t>运行维护要求</w:t>
      </w:r>
    </w:p>
    <w:p w14:paraId="0CA6B59C">
      <w:pPr>
        <w:pStyle w:val="5"/>
        <w:spacing w:line="240" w:lineRule="auto"/>
        <w:ind w:firstLine="0" w:firstLineChars="0"/>
        <w:rPr>
          <w:rFonts w:hint="eastAsia" w:ascii="宋体" w:hAnsi="宋体" w:cs="宋体"/>
          <w:color w:val="000000" w:themeColor="text1"/>
          <w:kern w:val="0"/>
          <w:sz w:val="22"/>
          <w:szCs w:val="22"/>
          <w:highlight w:val="none"/>
          <w14:textFill>
            <w14:solidFill>
              <w14:schemeClr w14:val="tx1"/>
            </w14:solidFill>
          </w14:textFill>
        </w:rPr>
      </w:pPr>
      <w:r>
        <w:rPr>
          <w:rFonts w:hint="eastAsia" w:ascii="宋体" w:hAnsi="宋体" w:cs="宋体"/>
          <w:color w:val="000000" w:themeColor="text1"/>
          <w:kern w:val="0"/>
          <w:sz w:val="22"/>
          <w:szCs w:val="22"/>
          <w:highlight w:val="none"/>
          <w14:textFill>
            <w14:solidFill>
              <w14:schemeClr w14:val="tx1"/>
            </w14:solidFill>
          </w14:textFill>
        </w:rPr>
        <w:t>总体要求</w:t>
      </w:r>
      <w:bookmarkEnd w:id="330"/>
      <w:bookmarkEnd w:id="331"/>
      <w:bookmarkEnd w:id="332"/>
      <w:bookmarkEnd w:id="333"/>
    </w:p>
    <w:p w14:paraId="7291E4A8">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成交供应商须按照采购人的技术要求和质量控制要求，全面负责本项目微型水质监测站的日常运行维护工作、1个微型水质监测站的建设及运行维护工作。当采购人依据国家有关规定和技术要求出台新的运维要求时，以新要求为准。</w:t>
      </w:r>
    </w:p>
    <w:p w14:paraId="61FDE9B4">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成交供应商运行维护期间必须遵守国家的有关法律、法规及其他规定，依照有关规范和技术要求，使本项目设备和系统的运行结果达到采购人的考核指标要求，充分发挥系统的效能；成交单位必须接受采购人的定期、不定期检查和考核。</w:t>
      </w:r>
    </w:p>
    <w:p w14:paraId="64FB9526">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3、运行维护期间，如遇采购人为自动监测站更换或新增仪器，成交供应商须配合做好新仪器的安装、调试和运行维护等工作，以及数据无缝对接到采购人指定的管理平台中；</w:t>
      </w:r>
    </w:p>
    <w:p w14:paraId="2295CF30">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运行维护期间，微型水质监测站及相关设施全部资产（建筑物、设备、软件、配套设施、自动监测系统和配套监控系统产生的各类数据信息及相关文档资料等）属采购人所有。未经采购人同意，成交供应商不得以任何方式对各类财产进行出售、抵押或转移；</w:t>
      </w:r>
    </w:p>
    <w:p w14:paraId="683A2BF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5、成交供应商对水质自动监测站的监测数据负有保密的责任，不得以任何方式和渠道向外界提供或用于商业用途；</w:t>
      </w:r>
    </w:p>
    <w:p w14:paraId="1AB69B06">
      <w:pPr>
        <w:pStyle w:val="6"/>
        <w:ind w:firstLine="391"/>
        <w:rPr>
          <w:rFonts w:hint="eastAsia" w:ascii="宋体" w:hAnsi="宋体" w:eastAsia="宋体" w:cs="宋体"/>
          <w:color w:val="000000" w:themeColor="text1"/>
          <w:sz w:val="22"/>
          <w:szCs w:val="22"/>
          <w:highlight w:val="none"/>
          <w14:textFill>
            <w14:solidFill>
              <w14:schemeClr w14:val="tx1"/>
            </w14:solidFill>
          </w14:textFill>
        </w:rPr>
      </w:pPr>
      <w:bookmarkStart w:id="334" w:name="_Toc504940959"/>
      <w:bookmarkStart w:id="335" w:name="_Toc505252700"/>
      <w:bookmarkStart w:id="336" w:name="_Toc505184851"/>
      <w:bookmarkStart w:id="337" w:name="_Toc504768970"/>
      <w:r>
        <w:rPr>
          <w:rFonts w:hint="eastAsia" w:ascii="宋体" w:hAnsi="宋体" w:eastAsia="宋体" w:cs="宋体"/>
          <w:color w:val="000000" w:themeColor="text1"/>
          <w:sz w:val="22"/>
          <w:szCs w:val="22"/>
          <w:highlight w:val="none"/>
          <w14:textFill>
            <w14:solidFill>
              <w14:schemeClr w14:val="tx1"/>
            </w14:solidFill>
          </w14:textFill>
        </w:rPr>
        <w:t>微型水质监测站运行维护要求</w:t>
      </w:r>
      <w:bookmarkEnd w:id="334"/>
      <w:bookmarkEnd w:id="335"/>
      <w:bookmarkEnd w:id="336"/>
      <w:bookmarkEnd w:id="337"/>
    </w:p>
    <w:p w14:paraId="6A65F04C">
      <w:pPr>
        <w:widowControl/>
        <w:pBdr>
          <w:top w:val="none" w:color="000000" w:sz="0" w:space="0"/>
          <w:left w:val="none" w:color="000000" w:sz="0" w:space="0"/>
          <w:bottom w:val="none" w:color="000000" w:sz="0" w:space="0"/>
          <w:right w:val="none" w:color="000000" w:sz="0" w:space="0"/>
        </w:pBdr>
        <w:adjustRightInd/>
        <w:snapToGrid/>
        <w:spacing w:line="360" w:lineRule="auto"/>
        <w:ind w:firstLine="442" w:firstLineChars="200"/>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运维工作内容</w:t>
      </w:r>
    </w:p>
    <w:p w14:paraId="63C07983">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运维过程中主要完成以下工作： </w:t>
      </w:r>
    </w:p>
    <w:p w14:paraId="6A0271A0">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 微型水质监测站的日常运行维护； </w:t>
      </w:r>
    </w:p>
    <w:p w14:paraId="7ACDFB8F">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 微型水质监测站的日常质量管理； </w:t>
      </w:r>
    </w:p>
    <w:p w14:paraId="4B38A77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 微型水质监测站的日常安全管理； </w:t>
      </w:r>
    </w:p>
    <w:p w14:paraId="577E6111">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 微型水质监测站的监测数据审核、上报； </w:t>
      </w:r>
    </w:p>
    <w:p w14:paraId="265EB047">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 微型水质监测站的仪器设备维护保养及故障维修； </w:t>
      </w:r>
    </w:p>
    <w:p w14:paraId="199D6B3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 微型水质监测站其他相关辅助设备设施的维护、保养、 维修。 </w:t>
      </w:r>
    </w:p>
    <w:p w14:paraId="4727B5A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 微型水质监测站数据采集及传输系统的维护及维修，保障联网通讯正常。 </w:t>
      </w:r>
    </w:p>
    <w:p w14:paraId="5970FE91">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8. 当仪器出现故障不能及时修复时，在48小时之内使用备机开展监测，并同时报告采购人。 </w:t>
      </w:r>
    </w:p>
    <w:p w14:paraId="5EE2E946">
      <w:pPr>
        <w:widowControl/>
        <w:pBdr>
          <w:top w:val="none" w:color="000000" w:sz="0" w:space="0"/>
          <w:left w:val="none" w:color="000000" w:sz="0" w:space="0"/>
          <w:bottom w:val="none" w:color="000000" w:sz="0" w:space="0"/>
          <w:right w:val="none" w:color="000000" w:sz="0" w:space="0"/>
        </w:pBdr>
        <w:adjustRightInd/>
        <w:snapToGrid/>
        <w:spacing w:line="360" w:lineRule="auto"/>
        <w:ind w:firstLine="442" w:firstLineChars="200"/>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运维工作目标</w:t>
      </w:r>
    </w:p>
    <w:p w14:paraId="421C1226">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运维期间，成交供应商按安全生产有关规定，建立安全生产制度，切实消除安全隐患。</w:t>
      </w:r>
    </w:p>
    <w:p w14:paraId="49F10EFA">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成交供应商确保提供及时、准确、有效的监测数据，微型水质监测站的运行质量达到以下指标：</w:t>
      </w:r>
    </w:p>
    <w:p w14:paraId="3FD85820">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1.各项指标监测数据捕获率达到90%（以小时值计）以上。</w:t>
      </w:r>
    </w:p>
    <w:p w14:paraId="69B98C27">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2.各项指标监测数据有效率达到80%（以小时值计）以上。</w:t>
      </w:r>
    </w:p>
    <w:p w14:paraId="0E42ADC8">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3.运维任务完成率100%。</w:t>
      </w:r>
    </w:p>
    <w:p w14:paraId="2F117D91">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4.异常情况处理率100%。</w:t>
      </w:r>
    </w:p>
    <w:p w14:paraId="4D0AE816">
      <w:pPr>
        <w:pStyle w:val="8"/>
        <w:ind w:firstLine="391"/>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运维工作要求</w:t>
      </w:r>
    </w:p>
    <w:p w14:paraId="3676679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1.一般要求</w:t>
      </w:r>
    </w:p>
    <w:p w14:paraId="7771C0C8">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（1）保持站房内部环境清洁，布置整齐，各仪器设备干净清洁，设备与试剂整齐摆放、标识清楚；</w:t>
      </w:r>
    </w:p>
    <w:p w14:paraId="61FDB52F">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（2）检查供电、供水、通讯的情况，保证系统的正常运行；</w:t>
      </w:r>
    </w:p>
    <w:p w14:paraId="5D1CC814">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（3）保证温湿度传感器、空调设备正常工作，仪器运行温度保持在10-30℃，湿度保持在10-90%RH；</w:t>
      </w:r>
    </w:p>
    <w:p w14:paraId="343498B5">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（4）指派专人维护，设备固定牢固，非工作人员未经许可不得开启微型水质监测站机柜门；</w:t>
      </w:r>
    </w:p>
    <w:p w14:paraId="60D331B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（5）定期检查消防和安全设施；</w:t>
      </w:r>
    </w:p>
    <w:p w14:paraId="212825A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（6）废液集中收集妥善处置；</w:t>
      </w:r>
    </w:p>
    <w:p w14:paraId="1C388900">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（7）每次维护后及时填写系统运行维护记录；</w:t>
      </w:r>
    </w:p>
    <w:p w14:paraId="3FEC93FA">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（8）进行维护时，应规范操作，注意安全，防止意外发生；</w:t>
      </w:r>
    </w:p>
    <w:p w14:paraId="71F5A287">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（9）运营期间所需水、电、通讯所需费用由成交供应商负责，及时缴纳水质监测站运行过程中产生的水、电、通讯等费用；</w:t>
      </w:r>
    </w:p>
    <w:p w14:paraId="7769048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（10）确保数据传输系统运行正常，保证数据传输质量；</w:t>
      </w:r>
    </w:p>
    <w:p w14:paraId="12DFE067">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（11）配合采购人、质控管理单位进行水质自动监测站质量保证和质量质控工作。随时接受甲方的工作考核及质量考核。</w:t>
      </w:r>
    </w:p>
    <w:p w14:paraId="31B080C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（12）协助做好水质自动监测站固定资产的管理、备品配件的登记等工作。</w:t>
      </w:r>
    </w:p>
    <w:p w14:paraId="5B49E07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（13）根据甲方实际工作需要，可增加仪器监测周期频次。</w:t>
      </w:r>
    </w:p>
    <w:p w14:paraId="3C35CEB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（14）应配置便携式仪器，在需要时用于水质自动站的比对。</w:t>
      </w:r>
    </w:p>
    <w:p w14:paraId="7748EC64">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15）每月5日前应提交上月运维报告和质控报告。运维报告内容包括水质自动监测站参数配置、维护人员、实际巡检日期、维护内容、维护效果等。质控报告内容包括水质自动监测站名称、仪器配置、维护人员、已实施的质控措施、质控实施日期、各监测项目标准溶液浓度、质控结果说明、校准及维护措施数据有效率等。</w:t>
      </w:r>
    </w:p>
    <w:p w14:paraId="43A1C053">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2.每日系统检查要求</w:t>
      </w:r>
    </w:p>
    <w:p w14:paraId="2F5BFDB4">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要求至少每天上午和下午两次远程查看水质自动监测站数据，分析水质监测和系统状态数据，对站点运行情况进行远程诊断和运行管理，内容包括：</w:t>
      </w:r>
    </w:p>
    <w:p w14:paraId="7720BC27">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（1）判断系统数据采集与传输情况；</w:t>
      </w:r>
    </w:p>
    <w:p w14:paraId="3DDF153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（2）根据仪器分析数据判断水质情况和仪器运行情况；</w:t>
      </w:r>
    </w:p>
    <w:p w14:paraId="323E7C6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（3）根据故障报警信号判断现场状况；</w:t>
      </w:r>
    </w:p>
    <w:p w14:paraId="2236906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（4）发现运行数据有持续异常值时，应立即通知采购单位的管理人员，并在2小时内前往现场进行调查，查明原因并在24小时内尽快排除。</w:t>
      </w:r>
    </w:p>
    <w:p w14:paraId="224F4A64">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3.每周定期巡检要求</w:t>
      </w:r>
    </w:p>
    <w:p w14:paraId="56E598E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每周至少巡视水质自动监测站1次，并做好巡查记录，巡检时需要完成的工作包括。</w:t>
      </w:r>
    </w:p>
    <w:p w14:paraId="4128713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（1）查看水质自动监测站设备是否齐备，无丢失和损坏；水质自动监测站运行环境是否正常；</w:t>
      </w:r>
    </w:p>
    <w:p w14:paraId="478C693B">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（2）检查系统各单元的运行状况，保证系统运行顺畅，仪器能顺利完成整个测试过程，有无故障点；</w:t>
      </w:r>
    </w:p>
    <w:p w14:paraId="70ADC7E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（3）检查水路、气路系统，保证水路/气路无漏水/漏气现象、无堵塞现象，对蓄水部件进行必要的清洗；</w:t>
      </w:r>
    </w:p>
    <w:p w14:paraId="55DA25E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（4）检查电路系统和通讯系统，保证系统供电正常，电压稳定；</w:t>
      </w:r>
    </w:p>
    <w:p w14:paraId="2CEE0CFB">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（5）检查水质自动监测站的通讯系统，保证水质自动监测站与远程监控中心的连接正常，数据传输正常；</w:t>
      </w:r>
    </w:p>
    <w:p w14:paraId="4374B3C7">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（6）检查水质自动监测站的试剂，进行必要的更换，更换后必须对仪器进行校准、核查；</w:t>
      </w:r>
    </w:p>
    <w:p w14:paraId="6F21B4C7">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（7）检查电极的使用情况，进行必要的保养，更换电解液时必须对仪器进行重新校准；</w:t>
      </w:r>
    </w:p>
    <w:p w14:paraId="7B212E2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（8）定期更换仪器备件，更换后必须对仪器进行校准、核查；</w:t>
      </w:r>
    </w:p>
    <w:p w14:paraId="42F5662A">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（9）检查站房的安全设施，做好防火防盗工作。</w:t>
      </w:r>
    </w:p>
    <w:p w14:paraId="5B5D2FC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4.系统各部分运行维护要求</w:t>
      </w:r>
    </w:p>
    <w:p w14:paraId="20FF9D7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（1）采水系统</w:t>
      </w:r>
    </w:p>
    <w:p w14:paraId="0947ED51">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采水系统的运行维护对象主要是采水泵、采水管路、固定装置。必须详细列出针对每项进行的维护内容、维护周期及维护方法。</w:t>
      </w:r>
    </w:p>
    <w:p w14:paraId="2767FA2B">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（2）预处理及配水系统</w:t>
      </w:r>
    </w:p>
    <w:p w14:paraId="5AF510DF">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配水系统的检查维护对象主要是配水管路、电动球阀、电磁阀、水泵、蓄水池等设备，必须详细列出每项维护周期及维护的方法。</w:t>
      </w:r>
    </w:p>
    <w:p w14:paraId="06951F45">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（3）分析仪器系统</w:t>
      </w:r>
    </w:p>
    <w:p w14:paraId="21DD4EE5">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利用每周定期巡检工作，对系统中各监测设备进行必要维护，如药剂更换、常规耗材备件更换、仪器清洗及校正等工作，保证仪器正常运行，分析数据准确。</w:t>
      </w:r>
    </w:p>
    <w:p w14:paraId="42285CD7">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（4）通讯及控制系统</w:t>
      </w:r>
    </w:p>
    <w:p w14:paraId="217E800B">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通讯及控制系统维护主要是对仪器控制系统和通讯系统进行检查维护，以免造成通讯中断，影响通信质量；数据库应能安全、可靠地保存数据。</w:t>
      </w:r>
    </w:p>
    <w:p w14:paraId="0D02FAF8">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（5）辅助系统</w:t>
      </w:r>
    </w:p>
    <w:p w14:paraId="4662AED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对系统的其他单元进行必要的检查和维护：温湿度、清洗设备、防雷设备、空调备和仪器的供电情况、系统防火防盗设施等。</w:t>
      </w:r>
    </w:p>
    <w:p w14:paraId="52D98701">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5.日常运行维护记录</w:t>
      </w:r>
    </w:p>
    <w:p w14:paraId="7E1D0D9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建立水质自动监测站维护档案，将水质自动监测站的运行过程和运行事件进行详细记录，并进行归档管理。日常运营中使用运行管理相关记录表至少应包括以下表格：</w:t>
      </w:r>
    </w:p>
    <w:p w14:paraId="3B9F976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（1）水质自动监测站基本情况信息表</w:t>
      </w:r>
    </w:p>
    <w:p w14:paraId="7480F95A">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需包含水质自动监测站所在流域及水体名称、水质自动监测站名称、水质自动监测站地址、经纬度、上下游污染情况、支流汇入情况、运维单位、站房面积、采水方式、取水口与岸边距离、取水口到站房距离、通讯方式、监测项目、设备型号及出厂编号、生产商、仪器分析原理等信息。</w:t>
      </w:r>
    </w:p>
    <w:p w14:paraId="12EAD9D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（2）水质自动监测站运行维护记录表；</w:t>
      </w:r>
    </w:p>
    <w:p w14:paraId="56B41FE4">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（3）水质自动监测系统仪器设备维修记录表；</w:t>
      </w:r>
    </w:p>
    <w:p w14:paraId="5738414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（4）水质自动监测系统备品备件管理记录表；</w:t>
      </w:r>
    </w:p>
    <w:p w14:paraId="242DE7CA">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（5）水质自动监测站主要消耗材料使用登记表；</w:t>
      </w:r>
    </w:p>
    <w:p w14:paraId="1021E86F">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（6）水质自动监测系统仪器资料保管清单；</w:t>
      </w:r>
    </w:p>
    <w:p w14:paraId="7FDE98B4">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（7）废液处置记录表。</w:t>
      </w:r>
    </w:p>
    <w:p w14:paraId="19951BF1">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记录废液处置时间、处置方式、处置量、处置经手人（运维人员）、处置单位等信息。</w:t>
      </w:r>
    </w:p>
    <w:p w14:paraId="085DAB6B">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6.质控措施技术指标和要求</w:t>
      </w:r>
    </w:p>
    <w:p w14:paraId="0C85EA90">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（1）对自动监测设备提供数据的真实性、准确性、可靠性和连续性负责；确保数据有效率达到90%以上。</w:t>
      </w:r>
    </w:p>
    <w:p w14:paraId="08843CC1">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每天上午和下午通过运营监管软件远程查看水质自动监测站运行数据和状态参数。发现异常现象，运维人员及时赶赴现场进行维护，及时在数据平台填报故障情况。对每日监测数据上传情况，设备运行状态，异常数据情况、仪器故障时间段及采取的相应措施进行记录。</w:t>
      </w:r>
    </w:p>
    <w:p w14:paraId="541B728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（3）每日10时前完成站点前日所有小时监测数据审核，形成监测数据审核日志。</w:t>
      </w:r>
    </w:p>
    <w:p w14:paraId="3C06A580">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（4）针对国标法水质自动监测站，高锰酸盐指数、氨氮、总磷、总氮应每24小时至少进行1次零点核查和跨度核查；每月至少进行1次多点线性核查。</w:t>
      </w:r>
    </w:p>
    <w:p w14:paraId="6607F943">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（5）常规五参数、COD/高锰酸盐指数、氨氮、总磷、总氮应每月进行一次实际水样比对。</w:t>
      </w:r>
    </w:p>
    <w:p w14:paraId="5AF27068">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（6）常规五参数每周进行一次标样核查。</w:t>
      </w:r>
    </w:p>
    <w:p w14:paraId="21CF234B">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（7）更换试剂（清洗水除外）后，应进行校准。</w:t>
      </w:r>
    </w:p>
    <w:p w14:paraId="2289C21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（8）当监测仪器关键部件更换后，应进行多点线性核查，必要时应开展实际水样比对。</w:t>
      </w:r>
    </w:p>
    <w:p w14:paraId="19E8085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（9）当监测仪器长时间停机恢复运行时应进行多点线性核查和集成干预检查。</w:t>
      </w:r>
    </w:p>
    <w:p w14:paraId="75956BA3">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7.应急维护要求</w:t>
      </w:r>
    </w:p>
    <w:p w14:paraId="004F5197">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（1）发生数据异常情况时，根据现场情况应采取标样核查、现场排查、实际水样比对等措施进行排查，查明并分析原因，记录备案并上报采购人。</w:t>
      </w:r>
    </w:p>
    <w:p w14:paraId="7DF9CD9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（7）设备出现故障，对出现的仪器故障应做到24小时内解决出现的问题，如问题不能排除，在48小时内无法修复的，应采用备用仪器替代发生故障的仪器。</w:t>
      </w:r>
    </w:p>
    <w:p w14:paraId="73521657">
      <w:pPr>
        <w:rPr>
          <w:color w:val="000000" w:themeColor="text1"/>
          <w:highlight w:val="none"/>
          <w14:textFill>
            <w14:solidFill>
              <w14:schemeClr w14:val="tx1"/>
            </w14:solidFill>
          </w14:textFill>
        </w:rPr>
      </w:pPr>
    </w:p>
    <w:p w14:paraId="2F2FFE12">
      <w:pPr>
        <w:pStyle w:val="6"/>
        <w:ind w:firstLine="391"/>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微型水质自动监测站建设要求</w:t>
      </w:r>
    </w:p>
    <w:p w14:paraId="5F32B2C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本项目需新建设1个微型水质自动监测站，包括水质自动监测站现场基础施工建设、系统集成、安装调试等。</w:t>
      </w:r>
    </w:p>
    <w:p w14:paraId="37009B7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通用技术要求</w:t>
      </w:r>
    </w:p>
    <w:p w14:paraId="2D59CA2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（1）操作语言</w:t>
      </w:r>
    </w:p>
    <w:p w14:paraId="68ADE9E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水质自动分析仪器和控制单元所有显示须为中文，符合《信息交换用汉字编码字符集》（GB2312－1980）。</w:t>
      </w:r>
    </w:p>
    <w:p w14:paraId="72F4112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（2）供电要求</w:t>
      </w:r>
    </w:p>
    <w:p w14:paraId="1843AA4A">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设备的运行电压为：(220±22)V，交流频率为（50±0.5）Hz。所有设备的电源插头为中国制式A9120-9085-1。</w:t>
      </w:r>
    </w:p>
    <w:p w14:paraId="76E8A28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（3）使用环境要求</w:t>
      </w:r>
    </w:p>
    <w:p w14:paraId="55B050D0">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所有设备在温度5～45℃、相对湿度小于90%环境下能够正常运行。</w:t>
      </w:r>
    </w:p>
    <w:p w14:paraId="68191CE4">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（4）试剂供应</w:t>
      </w:r>
    </w:p>
    <w:p w14:paraId="2676552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需提供仪器试剂配制方法，并提供试剂成分及纯度；</w:t>
      </w:r>
    </w:p>
    <w:p w14:paraId="24ADC2D0">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（5）通讯协议要求</w:t>
      </w:r>
    </w:p>
    <w:p w14:paraId="391772E4">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投标人须承诺中标后按照采购人指定的传输协议要求，将所有监测数据传输至指定的平台，包括仪器的实时状态、关键参数和监测数据等。并向采购人提供所有仪器的底层通信协议。</w:t>
      </w:r>
    </w:p>
    <w:p w14:paraId="539F59B0">
      <w:pPr>
        <w:pStyle w:val="8"/>
        <w:ind w:firstLine="391"/>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分析仪器基本功能要求</w:t>
      </w:r>
    </w:p>
    <w:p w14:paraId="23408C0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（1）应具有仪器基本参数贮存，断电、断水自动保护与来电、来水自动恢复功能。</w:t>
      </w:r>
    </w:p>
    <w:p w14:paraId="7E47DEBF">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（2）应具有时间设置功能，可根据需要任意设定监测频次。</w:t>
      </w:r>
    </w:p>
    <w:p w14:paraId="2639442B">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（3）应具有仪器故障自动检测自动报警、异常值自动报警及试剂液位报警功能。</w:t>
      </w:r>
    </w:p>
    <w:p w14:paraId="7DF8E5FB">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（4）应具有自动清洗功能。</w:t>
      </w:r>
    </w:p>
    <w:p w14:paraId="509BCF8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（5）应具备智能量程选择功能和远程控制功能。</w:t>
      </w:r>
    </w:p>
    <w:p w14:paraId="04749BDA">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（6）应具有自动标样核查、零点校准、标样校准等功能；</w:t>
      </w:r>
    </w:p>
    <w:p w14:paraId="088BA3B6">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（7）应具有异常信息记录、上传功能，如超量程报警、超标报警、缺试剂报警等信息；</w:t>
      </w:r>
    </w:p>
    <w:p w14:paraId="7014225B">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（8）应具有仪器状态(如测量、空闲、故障等)显示；</w:t>
      </w:r>
    </w:p>
    <w:p w14:paraId="4F76E176">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（9）应具有仪器开门时间和次数的记录；</w:t>
      </w:r>
    </w:p>
    <w:p w14:paraId="1EB454F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（10）应具有试剂余量监控及预警，能够精确到试剂余量可以维持的监测频次；</w:t>
      </w:r>
    </w:p>
    <w:p w14:paraId="072D680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（11）应具有RS-232或RS-485标准通讯接口；</w:t>
      </w:r>
    </w:p>
    <w:p w14:paraId="73FD4AA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（12）应具备1小时1次的监测能力；</w:t>
      </w:r>
    </w:p>
    <w:p w14:paraId="5726E980">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（13）高锰酸盐指数、氨氮、总磷水质在线分析仪器具备关键参数界面显示、智能量程选择、仪表测量倒计时、手动/自动24小时零点漂移、手动/自动24小时量程漂移、手动/自动跨度核查、实时数据图形显示功能。</w:t>
      </w:r>
    </w:p>
    <w:p w14:paraId="0AD8A9BF">
      <w:pPr>
        <w:pStyle w:val="8"/>
        <w:ind w:firstLine="391"/>
        <w:rPr>
          <w:color w:val="000000" w:themeColor="text1"/>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常规五参数在线分析仪技术要求</w:t>
      </w:r>
    </w:p>
    <w:p w14:paraId="34F4BA7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1、温度技术指标</w:t>
      </w:r>
    </w:p>
    <w:p w14:paraId="2BA3066F">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测定方法：热电阻/热电偶</w:t>
      </w:r>
    </w:p>
    <w:p w14:paraId="283A8C91">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量程：0～60℃，可调</w:t>
      </w:r>
    </w:p>
    <w:p w14:paraId="692F7203">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准确度：±0.2℃</w:t>
      </w:r>
    </w:p>
    <w:p w14:paraId="5C35C70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重复性：≤0.3℃</w:t>
      </w:r>
    </w:p>
    <w:p w14:paraId="16219E55">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MTBF：≥720 h/次</w:t>
      </w:r>
    </w:p>
    <w:p w14:paraId="22C3D23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6)</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响应时间：≤30s。</w:t>
      </w:r>
    </w:p>
    <w:p w14:paraId="4D6519D8">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2、pH技术指标</w:t>
      </w:r>
    </w:p>
    <w:p w14:paraId="3A9D4956">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测定方法：玻璃电极法</w:t>
      </w:r>
    </w:p>
    <w:p w14:paraId="3F13483A">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量程：0～14pH，可调</w:t>
      </w:r>
    </w:p>
    <w:p w14:paraId="61C6A6B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准确度：±0.1pH</w:t>
      </w:r>
    </w:p>
    <w:p w14:paraId="1CF5DB66">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重复性：≤0.05pH</w:t>
      </w:r>
    </w:p>
    <w:p w14:paraId="1EEE9EA4">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漂移（pH=4、7、9）：±0.1 pH</w:t>
      </w:r>
    </w:p>
    <w:p w14:paraId="4348B11A">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6)</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MTBF：≥720 h/次</w:t>
      </w:r>
    </w:p>
    <w:p w14:paraId="56BEFCC6">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响应时间：≤30s</w:t>
      </w:r>
    </w:p>
    <w:p w14:paraId="77F418F5">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8)</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温度补偿精度：±0.1 pH</w:t>
      </w:r>
    </w:p>
    <w:p w14:paraId="6A6E77D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9)</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实际水样比对试验：±0.1 pH</w:t>
      </w:r>
    </w:p>
    <w:p w14:paraId="2AF7A734">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3、电导率技术指标</w:t>
      </w:r>
    </w:p>
    <w:p w14:paraId="79D64FA7">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测定方法：电极法</w:t>
      </w:r>
    </w:p>
    <w:p w14:paraId="2DBAAAB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量程：0~200 mS/cm，可调</w:t>
      </w:r>
    </w:p>
    <w:p w14:paraId="6D34CBE1">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准确度：±1%</w:t>
      </w:r>
    </w:p>
    <w:p w14:paraId="1D7E71E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重复性：±1%</w:t>
      </w:r>
    </w:p>
    <w:p w14:paraId="16E535E4">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零点漂移：±1%</w:t>
      </w:r>
    </w:p>
    <w:p w14:paraId="7251266B">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6)</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量程漂移：±1%</w:t>
      </w:r>
    </w:p>
    <w:p w14:paraId="2E3BD8B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响应时间（T90）：≤30s</w:t>
      </w:r>
    </w:p>
    <w:p w14:paraId="48F602C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8)</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温度补偿精度：±1%</w:t>
      </w:r>
    </w:p>
    <w:p w14:paraId="20D66B4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9)</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MTBF：≥720 h/次</w:t>
      </w:r>
    </w:p>
    <w:p w14:paraId="5CDD955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10)</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实际水样比对试验：±1%</w:t>
      </w:r>
    </w:p>
    <w:p w14:paraId="3BB65C88">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4、溶解氧技术指标</w:t>
      </w:r>
    </w:p>
    <w:p w14:paraId="5E089CE7">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测定方法：荧光法</w:t>
      </w:r>
    </w:p>
    <w:p w14:paraId="0B783F6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量程：0～20 mg/L，可调</w:t>
      </w:r>
    </w:p>
    <w:p w14:paraId="1F254B6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零点漂移：±0.3 mg/L</w:t>
      </w:r>
    </w:p>
    <w:p w14:paraId="74CB7BD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量程漂移：±0.3 mg/L</w:t>
      </w:r>
    </w:p>
    <w:p w14:paraId="3D5B1936">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重复性：≤±0.15mg/L</w:t>
      </w:r>
    </w:p>
    <w:p w14:paraId="6AE2FD50">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6)</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响应时间（T90）：≤60s</w:t>
      </w:r>
    </w:p>
    <w:p w14:paraId="211CD7F5">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温度补偿精度：±0.3 mg/L</w:t>
      </w:r>
    </w:p>
    <w:p w14:paraId="6A958913">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8)</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MTBF：≥720 h/次</w:t>
      </w:r>
    </w:p>
    <w:p w14:paraId="05B88B27">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9)</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实际水样比对试验：±0.3 mg/L</w:t>
      </w:r>
    </w:p>
    <w:p w14:paraId="13BF0434">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5、浊度技术指标</w:t>
      </w:r>
    </w:p>
    <w:p w14:paraId="2210F8B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测定方法：光散射法</w:t>
      </w:r>
    </w:p>
    <w:p w14:paraId="002326D5">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量程：0～4000NTU，可调</w:t>
      </w:r>
    </w:p>
    <w:p w14:paraId="5F95676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 xml:space="preserve">重复性：±2% </w:t>
      </w:r>
    </w:p>
    <w:p w14:paraId="01AC08A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 xml:space="preserve">零点漂移：±3% </w:t>
      </w:r>
    </w:p>
    <w:p w14:paraId="3FD59031">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 xml:space="preserve">量程漂移：±3% </w:t>
      </w:r>
    </w:p>
    <w:p w14:paraId="7F097C3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6)</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线性误差：±5%</w:t>
      </w:r>
    </w:p>
    <w:p w14:paraId="29F06291">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MTBF：≥720 h/次</w:t>
      </w:r>
    </w:p>
    <w:p w14:paraId="06021AE3">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8)</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实际水样比对试验：±10%</w:t>
      </w:r>
    </w:p>
    <w:p w14:paraId="19CE3183">
      <w:pPr>
        <w:pStyle w:val="8"/>
        <w:ind w:firstLine="391"/>
        <w:rPr>
          <w:color w:val="000000" w:themeColor="text1"/>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高锰酸盐指数水质自动分析仪技术要求</w:t>
      </w:r>
    </w:p>
    <w:p w14:paraId="164E272A">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测量原理：高锰酸钾氧化-滴定法</w:t>
      </w:r>
    </w:p>
    <w:p w14:paraId="4F412F0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测量范围：0~20mg/L；20~200mg/L(可扩展)；</w:t>
      </w:r>
    </w:p>
    <w:p w14:paraId="12B6F9CA">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 xml:space="preserve">检出限：≤0.1mg/L </w:t>
      </w:r>
    </w:p>
    <w:p w14:paraId="10997BB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零点漂移：±5mg/L</w:t>
      </w:r>
    </w:p>
    <w:p w14:paraId="6B2C2AAB">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量程漂移：±5mg/L</w:t>
      </w:r>
    </w:p>
    <w:p w14:paraId="186DC06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6)</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定量下限：≤0.5mg/L</w:t>
      </w:r>
    </w:p>
    <w:p w14:paraId="457A368F">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葡萄糖试验：±5%</w:t>
      </w:r>
    </w:p>
    <w:p w14:paraId="7C8BE64F">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8)</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模拟输出及通讯：模拟输出、RS232/ RS485；</w:t>
      </w:r>
    </w:p>
    <w:p w14:paraId="1E0F6727">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9)</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▲监测仪试剂仓采样整体模块化设计，统一更换；（</w:t>
      </w:r>
      <w:bookmarkStart w:id="338" w:name="_Hlk190701706"/>
      <w:r>
        <w:rPr>
          <w:rFonts w:hint="eastAsia" w:ascii="宋体" w:hAnsi="宋体" w:cs="宋体"/>
          <w:color w:val="000000" w:themeColor="text1"/>
          <w:sz w:val="22"/>
          <w:szCs w:val="22"/>
          <w:highlight w:val="none"/>
          <w14:textFill>
            <w14:solidFill>
              <w14:schemeClr w14:val="tx1"/>
            </w14:solidFill>
          </w14:textFill>
        </w:rPr>
        <w:t>投标文件中须提供</w:t>
      </w:r>
      <w:bookmarkEnd w:id="338"/>
      <w:r>
        <w:rPr>
          <w:rFonts w:hint="eastAsia" w:ascii="宋体" w:hAnsi="宋体" w:cs="宋体"/>
          <w:color w:val="000000" w:themeColor="text1"/>
          <w:sz w:val="22"/>
          <w:szCs w:val="22"/>
          <w:highlight w:val="none"/>
          <w14:textFill>
            <w14:solidFill>
              <w14:schemeClr w14:val="tx1"/>
            </w14:solidFill>
          </w14:textFill>
        </w:rPr>
        <w:t>省级及以上法定计量检定机构出具的检测报告复印件（检测报告中需体现此功能）。）</w:t>
      </w:r>
    </w:p>
    <w:p w14:paraId="4FF4FFC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10)</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▲具备自动停止计量功能，以防监测仪计量液位失效时，计量液体腐蚀仪表；（投标文件中须提供省级及以上法定计量检定机构出具的检测报告复印件（检测报告中需体现此功能））</w:t>
      </w:r>
    </w:p>
    <w:p w14:paraId="050599D7">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11)</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▲监测仪具备仪表自检功能，能够检测关键部件如版本、计量电压、测量电压等是否工作正常。（投标文件中须提供省级及以上计量检定部门出具的检测报告复印件（检测报告中需体现此功能截图））</w:t>
      </w:r>
    </w:p>
    <w:p w14:paraId="42EB7C16">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12)</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▲监测仪具有剂瓶避光功能、试剂条码功能、试剂瓶盖单向阀功能、试剂瓶色环功能。（投标文件中须提供省级及以上计量检定部门出具的检测报告复印件（检测报告中需体现此功能截图））</w:t>
      </w:r>
    </w:p>
    <w:p w14:paraId="5F042D8F">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13）▲通过了电磁兼容性认证（EN 61326、EN IEC 61000、EN 61010）。（投标文件中须提供相关测试报告或者证书复印件。）</w:t>
      </w:r>
    </w:p>
    <w:p w14:paraId="3E54B16C">
      <w:pPr>
        <w:pStyle w:val="8"/>
        <w:ind w:firstLine="391"/>
        <w:rPr>
          <w:color w:val="000000" w:themeColor="text1"/>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氨氮水质自动分析仪技术要求</w:t>
      </w:r>
    </w:p>
    <w:p w14:paraId="52275A58">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测量原理：水杨酸分光光度法；</w:t>
      </w:r>
    </w:p>
    <w:p w14:paraId="4AC1C134">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测量范围：0～8/80/300mg/L（可扩展）；</w:t>
      </w:r>
    </w:p>
    <w:p w14:paraId="061DBC90">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示值误差：± 8.0%（标液浓度为2.0 mg/L时）；± 5.0%（标液浓度为5.0 mg/L时）；± 3.0%（标液浓度为8.0 mg/L时）</w:t>
      </w:r>
    </w:p>
    <w:p w14:paraId="3DD79D88">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定量下限：0.15mg/L；</w:t>
      </w:r>
    </w:p>
    <w:p w14:paraId="13C32D3F">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检出限：0.05mg/L；</w:t>
      </w:r>
    </w:p>
    <w:p w14:paraId="41AB7E43">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6)</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重复性：≤2%；</w:t>
      </w:r>
    </w:p>
    <w:p w14:paraId="6B17A8E7">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24h低浓度漂移：≤0.02mg/L；</w:t>
      </w:r>
    </w:p>
    <w:p w14:paraId="05B79A96">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8)</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24h高浓度漂移：≤1%；</w:t>
      </w:r>
    </w:p>
    <w:p w14:paraId="6FB218E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9)</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最小维护周期：≥168h/次</w:t>
      </w:r>
    </w:p>
    <w:p w14:paraId="1E730AE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10)</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记忆效应: ± 0.3 mg/L(标液浓度为2.0 mg/L时), ± 0.2 mg/L(标液浓度为8.0 mg/L时)</w:t>
      </w:r>
    </w:p>
    <w:p w14:paraId="3E76DCDF">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11)</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实际水样比对试验: ≤0.2 mg/L(水样浓度&lt;2.0 mg/L), ≤10.0%(水样浓度≥2.0 mg/L)</w:t>
      </w:r>
    </w:p>
    <w:p w14:paraId="7104286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12)</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模拟输出及通讯：模拟输出、RS232/ RS485；</w:t>
      </w:r>
    </w:p>
    <w:p w14:paraId="478E1B7B">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13)</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▲监测仪试剂仓采样整体模块化设计，统一更换；（投标文件中须提供省级及以上法定计量检定机构出具的检测报告复印件（检测报告中需体现此功能））</w:t>
      </w:r>
    </w:p>
    <w:p w14:paraId="31C11C78">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14)</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▲具备自动停止计量功能，以防监测仪计量液位失效时，计量液体腐蚀仪表；（投标文件中须提供省级及以上法定计量检定机构出具的检测报告复印件（检测报告中需体现此功能））</w:t>
      </w:r>
    </w:p>
    <w:p w14:paraId="586DF8D1">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15)</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▲监测仪具备仪表自检功能，能够检测关键部件如版本、计量电压、测量电压等是否工作正常。（投标文件中须提供省级及以上计量检定部门出具的检测报告复印件（检测报告中需体现此功能截图））</w:t>
      </w:r>
    </w:p>
    <w:p w14:paraId="0DEF3FDF">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16)</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▲监测仪具有剂瓶避光功能、试剂条码功能、试剂瓶盖单向阀功能、试剂瓶色环功能。（投标文件中须提供省级及以上计量检定部门出具的检测报告复印件（检测报告中需体现此功能截图））</w:t>
      </w:r>
    </w:p>
    <w:p w14:paraId="2E720E9A">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17）▲通过了电磁兼容性认证（EN 61326、EN IEC 61000、EN 61010）。（投标文件中须提供相关测试报告或者证书复印件。）</w:t>
      </w:r>
    </w:p>
    <w:p w14:paraId="68A6F373">
      <w:pPr>
        <w:rPr>
          <w:color w:val="000000" w:themeColor="text1"/>
          <w:highlight w:val="none"/>
          <w14:textFill>
            <w14:solidFill>
              <w14:schemeClr w14:val="tx1"/>
            </w14:solidFill>
          </w14:textFill>
        </w:rPr>
      </w:pPr>
    </w:p>
    <w:p w14:paraId="67D663E2">
      <w:pPr>
        <w:pStyle w:val="8"/>
        <w:ind w:firstLine="391"/>
        <w:rPr>
          <w:color w:val="000000" w:themeColor="text1"/>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总磷水质自动分析仪技术要求</w:t>
      </w:r>
    </w:p>
    <w:p w14:paraId="26C2BE87">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测定方法：过硫酸钾消解-钼酸铵分光光度法；</w:t>
      </w:r>
    </w:p>
    <w:p w14:paraId="18140A53">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测量范围：0～200 mg/L（可扩展）；</w:t>
      </w:r>
    </w:p>
    <w:p w14:paraId="53DCDE5B">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重复性：≤±5%；</w:t>
      </w:r>
    </w:p>
    <w:p w14:paraId="5B4B187B">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准确度：±10%；</w:t>
      </w:r>
    </w:p>
    <w:p w14:paraId="6AF71533">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零点漂移：±5%；</w:t>
      </w:r>
    </w:p>
    <w:p w14:paraId="23F542A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6)</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量程漂移：±10%；</w:t>
      </w:r>
    </w:p>
    <w:p w14:paraId="130B0E10">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定量下限：0.015mg/L</w:t>
      </w:r>
    </w:p>
    <w:p w14:paraId="2A2725E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8)</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检出限：≤0.01mg/L</w:t>
      </w:r>
    </w:p>
    <w:p w14:paraId="3AE6ABB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9)</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平均无故障连续运行时间：≥1440h/次；</w:t>
      </w:r>
    </w:p>
    <w:p w14:paraId="3E569BA5">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10)</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实际水样比对测试：≤±10%；</w:t>
      </w:r>
    </w:p>
    <w:p w14:paraId="1B9DCEB4">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11)</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模拟输出及通讯：模拟输出、RS232/ RS485；</w:t>
      </w:r>
    </w:p>
    <w:p w14:paraId="100F86F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12)</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▲监测仪试剂仓采样整体模块化设计，统一更换；（投标文件中须提供省级及以上法定计量检定机构出具的检测报告复印件（检测报告中需体现此功能））</w:t>
      </w:r>
    </w:p>
    <w:p w14:paraId="3EBA6935">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13)</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▲具备自动停止计量功能，以防监测仪计量液位失效时，计量液体腐蚀仪表；（投标文件中须提供省级及以上法定计量检定机构出具的检测报告复印件（检测报告中需体现此功能））</w:t>
      </w:r>
    </w:p>
    <w:p w14:paraId="1062F32B">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14)</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▲监测仪具备仪表自检功能，能够检测关键部件如版本、计量电压、测量电压等是否工作正常。（投标文件中须提供省级及以上计量检定部门出具的检测报告复印件（检测报告中需体现此功能截图））</w:t>
      </w:r>
    </w:p>
    <w:p w14:paraId="3F177517">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15)</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▲监测仪具有剂瓶避光功能、试剂条码功能、试剂瓶盖单向阀功能、试剂瓶色环功能。（投标文件中须提供省级及以上计量检定部门出具的检测报告复印件（检测报告中需体现此功能截图））</w:t>
      </w:r>
    </w:p>
    <w:p w14:paraId="01F3BD3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16）▲通过了电磁兼容性认证（EN 61326、EN IEC 61000、EN 61010）。（投标文件中须提供相关测试报告或者证书复印件。）</w:t>
      </w:r>
    </w:p>
    <w:p w14:paraId="7EAF8461">
      <w:pPr>
        <w:rPr>
          <w:color w:val="000000" w:themeColor="text1"/>
          <w:highlight w:val="none"/>
          <w14:textFill>
            <w14:solidFill>
              <w14:schemeClr w14:val="tx1"/>
            </w14:solidFill>
          </w14:textFill>
        </w:rPr>
      </w:pPr>
    </w:p>
    <w:p w14:paraId="2E76786D">
      <w:pPr>
        <w:pStyle w:val="8"/>
        <w:ind w:firstLine="391"/>
        <w:rPr>
          <w:color w:val="000000" w:themeColor="text1"/>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总氮水质自动分析仪技术要求</w:t>
      </w:r>
    </w:p>
    <w:p w14:paraId="11F6A978">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测定方法：</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碱性过硫酸钾氧化-紫外分光光度法</w:t>
      </w:r>
    </w:p>
    <w:p w14:paraId="3ED01917">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测量范围：</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0~200mg/L（可扩展）</w:t>
      </w:r>
    </w:p>
    <w:p w14:paraId="505F5F8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重复性：</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±10%</w:t>
      </w:r>
    </w:p>
    <w:p w14:paraId="75E14FA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准确度：</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±10%</w:t>
      </w:r>
    </w:p>
    <w:p w14:paraId="5FBAAD8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零点漂移：</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≤±5%</w:t>
      </w:r>
    </w:p>
    <w:p w14:paraId="17A04D3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6)</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量程漂移</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：≤±5%</w:t>
      </w:r>
    </w:p>
    <w:p w14:paraId="7BBE2445">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定量下限：0.15mg</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L</w:t>
      </w:r>
    </w:p>
    <w:p w14:paraId="4882523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8)</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直线性≤±10.0%</w:t>
      </w:r>
    </w:p>
    <w:p w14:paraId="4A99F30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9)</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平均无故障连续运行时间)：≥1440 h/次</w:t>
      </w:r>
    </w:p>
    <w:p w14:paraId="0F0C6F71">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10)</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模拟输出及通讯：模拟输出、RS232/ RS485；</w:t>
      </w:r>
    </w:p>
    <w:p w14:paraId="6B1C021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11)</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▲监测仪试剂仓采样整体模块化设计，统一更换；（投标文件中须提供省级及以上法定计量检定机构出具的检测报告复印件（检测报告中需体现此功能））</w:t>
      </w:r>
    </w:p>
    <w:p w14:paraId="2C89F7F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12)</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▲具备自动停止计量功能，以防监测仪计量液位失效时，计量液体腐蚀仪表；（投标文件中须提供省级及以上法定计量检定机构出具的检测报告复印件（检测报告中需体现此功能））</w:t>
      </w:r>
    </w:p>
    <w:p w14:paraId="43FB7CA7">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14)</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▲监测仪具备仪表自检功能，能够检测关键部件如版本、计量电压、测量电压等是否工作正常。（投标文件中须提供省级及以上计量检定部门出具的检测报告复印件（检测报告中需体现此功能截图））</w:t>
      </w:r>
    </w:p>
    <w:p w14:paraId="21E9E10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15)</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▲监测仪具有剂瓶避光功能、试剂条码功能、试剂瓶盖单向阀功能、试剂瓶色环功能。（投标文件中须提供省级及以上计量检定部门出具的检测报告复印件（检测报告中需体现此功能截图））</w:t>
      </w:r>
    </w:p>
    <w:p w14:paraId="246B3CB0">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16）▲通过了电磁兼容性认证（EN 61326、EN IEC 61000、EN 61010）。（投标文件中须提供相关测试报告或者证书复印件。）</w:t>
      </w:r>
    </w:p>
    <w:p w14:paraId="4103EFAC">
      <w:pPr>
        <w:rPr>
          <w:color w:val="000000" w:themeColor="text1"/>
          <w:highlight w:val="none"/>
          <w14:textFill>
            <w14:solidFill>
              <w14:schemeClr w14:val="tx1"/>
            </w14:solidFill>
          </w14:textFill>
        </w:rPr>
      </w:pPr>
    </w:p>
    <w:p w14:paraId="4F0E7B1E">
      <w:pPr>
        <w:pStyle w:val="8"/>
        <w:ind w:firstLine="391"/>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系统集成要求</w:t>
      </w:r>
    </w:p>
    <w:p w14:paraId="7995FB5F">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1.采样单元技术要求</w:t>
      </w:r>
    </w:p>
    <w:p w14:paraId="09D964A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投标人中标后须经过与水站所在地方主管部门协商后，根据站点具体水文和地质情况给出合理的采水单元设计方案，保证采样的代表性和科学性。</w:t>
      </w:r>
    </w:p>
    <w:p w14:paraId="73F7E96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（1）取水口位置一般应设在河流凸岸（冲刷岸），不能设在河流（湖库）的漫滩处，避开湍流和容易造成淤积的部位，丰、枯水期,离河岸的距离不得小于10m；</w:t>
      </w:r>
    </w:p>
    <w:p w14:paraId="08C138B6">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（2）河流取水口不能设在死水区、缓流区、回流区；</w:t>
      </w:r>
    </w:p>
    <w:p w14:paraId="77A94500">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（3）取水点与站房的距离一般不应超出300m，确因客观条件无法达到的，可根据实际情况进行调整，尽量缩短采水管路的距离，减少因采水管路过长对结果的影响；</w:t>
      </w:r>
    </w:p>
    <w:p w14:paraId="33C91B9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（4）枯水季节采水点一般水深不小于1m，采水点最大流速一般低于3m/s。</w:t>
      </w:r>
    </w:p>
    <w:p w14:paraId="453557B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2.配水及预处理要求</w:t>
      </w:r>
    </w:p>
    <w:p w14:paraId="2A73B13F">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投标人应提供针对性的配水和预处理方案。</w:t>
      </w:r>
    </w:p>
    <w:p w14:paraId="33639195">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配水单元包括原水的静置沉沙、精密过滤及配水等。原水经取样单元的粗级过滤后经过沉砂装置，经过缓冲和静置沉沙约半小时后；再经过精密过滤送入样水杯供分析仪表使用。</w:t>
      </w:r>
    </w:p>
    <w:p w14:paraId="0DD4D6DA">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为保障供水管路的畅通，采用清洁水为管路的清洗，并辅助除藻等清洗方式。</w:t>
      </w:r>
    </w:p>
    <w:p w14:paraId="394314E1">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为防止泥沙沉积物、吸附物和藻类繁衍对监测水样的二次污染，配水系统应有自动/手动清洗和反吹功能，并且具有自动/手动的近程/远程控制功能，清洗包括站对房内部管路（内清）和外部采水管路的清洗（外清）。</w:t>
      </w:r>
    </w:p>
    <w:p w14:paraId="5D84D19B">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3.控制单元</w:t>
      </w:r>
    </w:p>
    <w:p w14:paraId="4B6A074B">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控制单元主要完成水质自动监测系统的控制、数据采集、存储、处理与传输通讯等工作，能连续反映水质变化情况，准确及时捕捉污染事故排放并发出预警信号；采集的数据应能自动添加数据标识，异常监测数据能自动识别，并能主动上传至中心平台。</w:t>
      </w:r>
    </w:p>
    <w:p w14:paraId="3DA695DF">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（1）功能要求</w:t>
      </w:r>
    </w:p>
    <w:p w14:paraId="3AD06CBF">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 xml:space="preserve">能够现场/远程设置系统的采样周期（1-24次/天）。 </w:t>
      </w:r>
    </w:p>
    <w:p w14:paraId="68E8A1F8">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可调节连续、间歇或紧急取样等多种方式。</w:t>
      </w:r>
    </w:p>
    <w:p w14:paraId="3F9A84FB">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现场自动控制运行，实现无人值守。包括采、配水单元、管路清洗单元的运行自动控制， 以及仪器校准和同步启动等的自动控制。</w:t>
      </w:r>
    </w:p>
    <w:p w14:paraId="25EC5B84">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显示各单元设备的工作状态及参数。</w:t>
      </w:r>
    </w:p>
    <w:p w14:paraId="777F919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系统与仪器可进行时间同步，确保中心站软件、子站控制系统、仪器三者的时间一致。实时显示各仪器的状态、当前监测值等。</w:t>
      </w:r>
    </w:p>
    <w:p w14:paraId="74026337">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6)</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当工控机停电或者损坏不运转的时候，整个系统仍然能正常存储数据和通讯。</w:t>
      </w:r>
    </w:p>
    <w:p w14:paraId="1AA528E6">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工控机数据存储具有向上备份功能。</w:t>
      </w:r>
    </w:p>
    <w:p w14:paraId="4D1EB308">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8)</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 xml:space="preserve">系统具有自动清洗、实时通讯、数据处理等功能，可对各单元设备的控制参数进行远程控制。 </w:t>
      </w:r>
    </w:p>
    <w:p w14:paraId="2DC70B94">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9)</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数据自动采集、处理及传输，中心站可到数据库中下载实时或历史数据。</w:t>
      </w:r>
    </w:p>
    <w:p w14:paraId="48140628">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10)</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可接受和执行中心服务器发送的远程质控命令，实现系统自动化质量控制，如平行样测试、标样核查、加标回收测试等，并根据质量控制结果和调试检测结果对本子站仪器运行状态和性能进行初步评判，能显示和保存历史评判结果与数据依据。</w:t>
      </w:r>
    </w:p>
    <w:p w14:paraId="433CFAC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11)</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系统设置具有开放性，系统响应远程中心站的对现场各种参数的状态显示，可根据权限自行设置有关参数，进行参数修改和控制功能等。</w:t>
      </w:r>
    </w:p>
    <w:p w14:paraId="156CB03B">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12)</w:t>
      </w:r>
      <w:r>
        <w:rPr>
          <w:rFonts w:hint="eastAsia" w:ascii="宋体" w:hAnsi="宋体" w:cs="宋体"/>
          <w:color w:val="000000" w:themeColor="text1"/>
          <w:sz w:val="22"/>
          <w:szCs w:val="22"/>
          <w:highlight w:val="none"/>
          <w14:textFill>
            <w14:solidFill>
              <w14:schemeClr w14:val="tx1"/>
            </w14:solidFill>
          </w14:textFill>
        </w:rPr>
        <w:tab/>
      </w:r>
      <w:r>
        <w:rPr>
          <w:rFonts w:hint="eastAsia" w:ascii="宋体" w:hAnsi="宋体" w:cs="宋体"/>
          <w:color w:val="000000" w:themeColor="text1"/>
          <w:sz w:val="22"/>
          <w:szCs w:val="22"/>
          <w:highlight w:val="none"/>
          <w14:textFill>
            <w14:solidFill>
              <w14:schemeClr w14:val="tx1"/>
            </w14:solidFill>
          </w14:textFill>
        </w:rPr>
        <w:t>可接受和执行中心服务器发送的系统控制命令，系统控制命令包括远程调取工控机历史数据、重启或停止控制系统、修改仪器或系统采样周期、启动紧急监测、日期时间修正等。</w:t>
      </w:r>
    </w:p>
    <w:p w14:paraId="05B1936A">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（2）硬件设备技术参数</w:t>
      </w:r>
    </w:p>
    <w:p w14:paraId="08710408">
      <w:pPr>
        <w:widowControl/>
        <w:pBdr>
          <w:top w:val="none" w:color="000000" w:sz="0" w:space="0"/>
          <w:left w:val="none" w:color="000000" w:sz="0" w:space="0"/>
          <w:bottom w:val="none" w:color="000000" w:sz="0" w:space="0"/>
          <w:right w:val="none" w:color="000000" w:sz="0" w:space="0"/>
        </w:pBdr>
        <w:adjustRightInd/>
        <w:snapToGrid/>
        <w:spacing w:line="360" w:lineRule="auto"/>
        <w:ind w:firstLine="442" w:firstLineChars="200"/>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工业控制计算机</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418"/>
        <w:gridCol w:w="5415"/>
      </w:tblGrid>
      <w:tr w14:paraId="26EE3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817" w:type="dxa"/>
            <w:vAlign w:val="center"/>
          </w:tcPr>
          <w:p w14:paraId="72B4550F">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序</w:t>
            </w:r>
            <w:r>
              <w:rPr>
                <w:rFonts w:hint="eastAsia" w:ascii="宋体" w:hAnsi="宋体" w:cs="宋体" w:eastAsiaTheme="minorHAnsi"/>
                <w:color w:val="000000" w:themeColor="text1"/>
                <w:sz w:val="22"/>
                <w:szCs w:val="21"/>
                <w:highlight w:val="none"/>
                <w14:textFill>
                  <w14:solidFill>
                    <w14:schemeClr w14:val="tx1"/>
                  </w14:solidFill>
                </w14:textFill>
              </w:rPr>
              <w:t>号</w:t>
            </w:r>
          </w:p>
        </w:tc>
        <w:tc>
          <w:tcPr>
            <w:tcW w:w="1418" w:type="dxa"/>
            <w:vAlign w:val="center"/>
          </w:tcPr>
          <w:p w14:paraId="0B301C76">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指</w:t>
            </w:r>
            <w:r>
              <w:rPr>
                <w:rFonts w:hint="eastAsia" w:ascii="宋体" w:hAnsi="宋体" w:cs="宋体" w:eastAsiaTheme="minorHAnsi"/>
                <w:color w:val="000000" w:themeColor="text1"/>
                <w:sz w:val="22"/>
                <w:szCs w:val="21"/>
                <w:highlight w:val="none"/>
                <w14:textFill>
                  <w14:solidFill>
                    <w14:schemeClr w14:val="tx1"/>
                  </w14:solidFill>
                </w14:textFill>
              </w:rPr>
              <w:t>标名称</w:t>
            </w:r>
          </w:p>
        </w:tc>
        <w:tc>
          <w:tcPr>
            <w:tcW w:w="5415" w:type="dxa"/>
            <w:vAlign w:val="center"/>
          </w:tcPr>
          <w:p w14:paraId="4FC07FA8">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性</w:t>
            </w:r>
            <w:r>
              <w:rPr>
                <w:rFonts w:hint="eastAsia" w:ascii="宋体" w:hAnsi="宋体" w:cs="宋体" w:eastAsiaTheme="minorHAnsi"/>
                <w:color w:val="000000" w:themeColor="text1"/>
                <w:sz w:val="22"/>
                <w:szCs w:val="21"/>
                <w:highlight w:val="none"/>
                <w14:textFill>
                  <w14:solidFill>
                    <w14:schemeClr w14:val="tx1"/>
                  </w14:solidFill>
                </w14:textFill>
              </w:rPr>
              <w:t>能指标</w:t>
            </w:r>
          </w:p>
        </w:tc>
      </w:tr>
      <w:tr w14:paraId="44AD2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817" w:type="dxa"/>
            <w:vAlign w:val="center"/>
          </w:tcPr>
          <w:p w14:paraId="1ADA3566">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1</w:t>
            </w:r>
          </w:p>
        </w:tc>
        <w:tc>
          <w:tcPr>
            <w:tcW w:w="1418" w:type="dxa"/>
            <w:vAlign w:val="center"/>
          </w:tcPr>
          <w:p w14:paraId="403F5B94">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CPU</w:t>
            </w:r>
          </w:p>
        </w:tc>
        <w:tc>
          <w:tcPr>
            <w:tcW w:w="5415" w:type="dxa"/>
            <w:vAlign w:val="center"/>
          </w:tcPr>
          <w:p w14:paraId="59A90838">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≥2.0GHz</w:t>
            </w:r>
          </w:p>
        </w:tc>
      </w:tr>
      <w:tr w14:paraId="77278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817" w:type="dxa"/>
            <w:vAlign w:val="center"/>
          </w:tcPr>
          <w:p w14:paraId="411D5091">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2</w:t>
            </w:r>
          </w:p>
        </w:tc>
        <w:tc>
          <w:tcPr>
            <w:tcW w:w="1418" w:type="dxa"/>
            <w:vAlign w:val="center"/>
          </w:tcPr>
          <w:p w14:paraId="1CA89DB3">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内</w:t>
            </w:r>
            <w:r>
              <w:rPr>
                <w:rFonts w:hint="eastAsia" w:ascii="宋体" w:hAnsi="宋体" w:cs="宋体" w:eastAsiaTheme="minorHAnsi"/>
                <w:color w:val="000000" w:themeColor="text1"/>
                <w:sz w:val="22"/>
                <w:szCs w:val="21"/>
                <w:highlight w:val="none"/>
                <w14:textFill>
                  <w14:solidFill>
                    <w14:schemeClr w14:val="tx1"/>
                  </w14:solidFill>
                </w14:textFill>
              </w:rPr>
              <w:t>存</w:t>
            </w:r>
          </w:p>
        </w:tc>
        <w:tc>
          <w:tcPr>
            <w:tcW w:w="5415" w:type="dxa"/>
            <w:vAlign w:val="center"/>
          </w:tcPr>
          <w:p w14:paraId="0BB69966">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≥4GB</w:t>
            </w:r>
          </w:p>
        </w:tc>
      </w:tr>
      <w:tr w14:paraId="54707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817" w:type="dxa"/>
            <w:vAlign w:val="center"/>
          </w:tcPr>
          <w:p w14:paraId="42AB0FBA">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3</w:t>
            </w:r>
          </w:p>
        </w:tc>
        <w:tc>
          <w:tcPr>
            <w:tcW w:w="1418" w:type="dxa"/>
            <w:vAlign w:val="center"/>
          </w:tcPr>
          <w:p w14:paraId="37872BF6">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硬</w:t>
            </w:r>
            <w:r>
              <w:rPr>
                <w:rFonts w:hint="eastAsia" w:ascii="宋体" w:hAnsi="宋体" w:cs="宋体" w:eastAsiaTheme="minorHAnsi"/>
                <w:color w:val="000000" w:themeColor="text1"/>
                <w:sz w:val="22"/>
                <w:szCs w:val="21"/>
                <w:highlight w:val="none"/>
                <w14:textFill>
                  <w14:solidFill>
                    <w14:schemeClr w14:val="tx1"/>
                  </w14:solidFill>
                </w14:textFill>
              </w:rPr>
              <w:t>盘容量</w:t>
            </w:r>
          </w:p>
        </w:tc>
        <w:tc>
          <w:tcPr>
            <w:tcW w:w="5415" w:type="dxa"/>
            <w:vAlign w:val="center"/>
          </w:tcPr>
          <w:p w14:paraId="57AE4A97">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≥500GB</w:t>
            </w:r>
          </w:p>
        </w:tc>
      </w:tr>
      <w:tr w14:paraId="482F0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817" w:type="dxa"/>
            <w:vAlign w:val="center"/>
          </w:tcPr>
          <w:p w14:paraId="7944406E">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4</w:t>
            </w:r>
          </w:p>
        </w:tc>
        <w:tc>
          <w:tcPr>
            <w:tcW w:w="1418" w:type="dxa"/>
            <w:vAlign w:val="center"/>
          </w:tcPr>
          <w:p w14:paraId="4A68C335">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显</w:t>
            </w:r>
            <w:r>
              <w:rPr>
                <w:rFonts w:hint="eastAsia" w:ascii="宋体" w:hAnsi="宋体" w:cs="宋体" w:eastAsiaTheme="minorHAnsi"/>
                <w:color w:val="000000" w:themeColor="text1"/>
                <w:sz w:val="22"/>
                <w:szCs w:val="21"/>
                <w:highlight w:val="none"/>
                <w14:textFill>
                  <w14:solidFill>
                    <w14:schemeClr w14:val="tx1"/>
                  </w14:solidFill>
                </w14:textFill>
              </w:rPr>
              <w:t>示器</w:t>
            </w:r>
          </w:p>
        </w:tc>
        <w:tc>
          <w:tcPr>
            <w:tcW w:w="5415" w:type="dxa"/>
            <w:vAlign w:val="center"/>
          </w:tcPr>
          <w:p w14:paraId="30159CD9">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≥12英寸</w:t>
            </w:r>
          </w:p>
        </w:tc>
      </w:tr>
      <w:tr w14:paraId="3CC65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817" w:type="dxa"/>
            <w:vAlign w:val="center"/>
          </w:tcPr>
          <w:p w14:paraId="5023955F">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5</w:t>
            </w:r>
          </w:p>
        </w:tc>
        <w:tc>
          <w:tcPr>
            <w:tcW w:w="1418" w:type="dxa"/>
            <w:vAlign w:val="center"/>
          </w:tcPr>
          <w:p w14:paraId="002637E1">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I/O接口标准配置</w:t>
            </w:r>
          </w:p>
        </w:tc>
        <w:tc>
          <w:tcPr>
            <w:tcW w:w="5415" w:type="dxa"/>
            <w:vAlign w:val="center"/>
          </w:tcPr>
          <w:p w14:paraId="553A6876">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不</w:t>
            </w:r>
            <w:r>
              <w:rPr>
                <w:rFonts w:hint="eastAsia" w:ascii="宋体" w:hAnsi="宋体" w:cs="宋体" w:eastAsiaTheme="minorHAnsi"/>
                <w:color w:val="000000" w:themeColor="text1"/>
                <w:sz w:val="22"/>
                <w:szCs w:val="21"/>
                <w:highlight w:val="none"/>
                <w14:textFill>
                  <w14:solidFill>
                    <w14:schemeClr w14:val="tx1"/>
                  </w14:solidFill>
                </w14:textFill>
              </w:rPr>
              <w:t>少于2个以太网口，不少于4个USB口，不少于4个串口</w:t>
            </w:r>
          </w:p>
        </w:tc>
      </w:tr>
    </w:tbl>
    <w:p w14:paraId="206EE02A">
      <w:pPr>
        <w:widowControl/>
        <w:adjustRightInd/>
        <w:spacing w:line="360" w:lineRule="auto"/>
        <w:ind w:firstLine="220" w:firstLineChars="0"/>
        <w:rPr>
          <w:rFonts w:ascii="宋体" w:hAnsi="宋体" w:cs="宋体" w:eastAsiaTheme="minorHAnsi"/>
          <w:b/>
          <w:bCs/>
          <w:color w:val="000000" w:themeColor="text1"/>
          <w:sz w:val="22"/>
          <w:szCs w:val="21"/>
          <w:highlight w:val="none"/>
          <w14:textFill>
            <w14:solidFill>
              <w14:schemeClr w14:val="tx1"/>
            </w14:solidFill>
          </w14:textFill>
        </w:rPr>
      </w:pPr>
    </w:p>
    <w:p w14:paraId="589A7FED">
      <w:pPr>
        <w:widowControl/>
        <w:adjustRightInd/>
        <w:spacing w:line="360" w:lineRule="auto"/>
        <w:ind w:firstLine="220" w:firstLineChars="0"/>
        <w:rPr>
          <w:rFonts w:ascii="宋体" w:hAnsi="宋体" w:cs="宋体" w:eastAsiaTheme="minorHAnsi"/>
          <w:b/>
          <w:bCs/>
          <w:color w:val="000000" w:themeColor="text1"/>
          <w:sz w:val="22"/>
          <w:szCs w:val="21"/>
          <w:highlight w:val="none"/>
          <w14:textFill>
            <w14:solidFill>
              <w14:schemeClr w14:val="tx1"/>
            </w14:solidFill>
          </w14:textFill>
        </w:rPr>
      </w:pPr>
      <w:r>
        <w:rPr>
          <w:rFonts w:hint="eastAsia" w:ascii="宋体" w:hAnsi="宋体" w:cs="宋体"/>
          <w:b/>
          <w:bCs/>
          <w:color w:val="000000" w:themeColor="text1"/>
          <w:sz w:val="22"/>
          <w:szCs w:val="21"/>
          <w:highlight w:val="none"/>
          <w14:textFill>
            <w14:solidFill>
              <w14:schemeClr w14:val="tx1"/>
            </w14:solidFill>
          </w14:textFill>
        </w:rPr>
        <w:t>可</w:t>
      </w:r>
      <w:r>
        <w:rPr>
          <w:rFonts w:hint="eastAsia" w:ascii="宋体" w:hAnsi="宋体" w:cs="宋体" w:eastAsiaTheme="minorHAnsi"/>
          <w:b/>
          <w:bCs/>
          <w:color w:val="000000" w:themeColor="text1"/>
          <w:sz w:val="22"/>
          <w:szCs w:val="21"/>
          <w:highlight w:val="none"/>
          <w14:textFill>
            <w14:solidFill>
              <w14:schemeClr w14:val="tx1"/>
            </w14:solidFill>
          </w14:textFill>
        </w:rPr>
        <w:t>编程控制器</w:t>
      </w:r>
    </w:p>
    <w:tbl>
      <w:tblPr>
        <w:tblStyle w:val="22"/>
        <w:tblW w:w="77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013"/>
        <w:gridCol w:w="4892"/>
      </w:tblGrid>
      <w:tr w14:paraId="604DF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817" w:type="dxa"/>
            <w:vAlign w:val="center"/>
          </w:tcPr>
          <w:p w14:paraId="3A2A8AAE">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序</w:t>
            </w:r>
            <w:r>
              <w:rPr>
                <w:rFonts w:hint="eastAsia" w:ascii="宋体" w:hAnsi="宋体" w:cs="宋体" w:eastAsiaTheme="minorHAnsi"/>
                <w:color w:val="000000" w:themeColor="text1"/>
                <w:sz w:val="22"/>
                <w:szCs w:val="21"/>
                <w:highlight w:val="none"/>
                <w14:textFill>
                  <w14:solidFill>
                    <w14:schemeClr w14:val="tx1"/>
                  </w14:solidFill>
                </w14:textFill>
              </w:rPr>
              <w:t>号</w:t>
            </w:r>
          </w:p>
        </w:tc>
        <w:tc>
          <w:tcPr>
            <w:tcW w:w="2013" w:type="dxa"/>
            <w:vAlign w:val="center"/>
          </w:tcPr>
          <w:p w14:paraId="0D16F80D">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指</w:t>
            </w:r>
            <w:r>
              <w:rPr>
                <w:rFonts w:hint="eastAsia" w:ascii="宋体" w:hAnsi="宋体" w:cs="宋体" w:eastAsiaTheme="minorHAnsi"/>
                <w:color w:val="000000" w:themeColor="text1"/>
                <w:sz w:val="22"/>
                <w:szCs w:val="21"/>
                <w:highlight w:val="none"/>
                <w14:textFill>
                  <w14:solidFill>
                    <w14:schemeClr w14:val="tx1"/>
                  </w14:solidFill>
                </w14:textFill>
              </w:rPr>
              <w:t>标名称</w:t>
            </w:r>
          </w:p>
        </w:tc>
        <w:tc>
          <w:tcPr>
            <w:tcW w:w="4892" w:type="dxa"/>
            <w:vAlign w:val="center"/>
          </w:tcPr>
          <w:p w14:paraId="4536BF19">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性</w:t>
            </w:r>
            <w:r>
              <w:rPr>
                <w:rFonts w:hint="eastAsia" w:ascii="宋体" w:hAnsi="宋体" w:cs="宋体" w:eastAsiaTheme="minorHAnsi"/>
                <w:color w:val="000000" w:themeColor="text1"/>
                <w:sz w:val="22"/>
                <w:szCs w:val="21"/>
                <w:highlight w:val="none"/>
                <w14:textFill>
                  <w14:solidFill>
                    <w14:schemeClr w14:val="tx1"/>
                  </w14:solidFill>
                </w14:textFill>
              </w:rPr>
              <w:t>能指标</w:t>
            </w:r>
          </w:p>
        </w:tc>
      </w:tr>
      <w:tr w14:paraId="432CA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817" w:type="dxa"/>
            <w:vAlign w:val="center"/>
          </w:tcPr>
          <w:p w14:paraId="2A95809B">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bookmarkStart w:id="339" w:name="_Hlk67063674"/>
            <w:r>
              <w:rPr>
                <w:rFonts w:hint="eastAsia" w:ascii="宋体" w:hAnsi="宋体" w:cs="宋体" w:eastAsiaTheme="minorHAnsi"/>
                <w:color w:val="000000" w:themeColor="text1"/>
                <w:sz w:val="22"/>
                <w:szCs w:val="21"/>
                <w:highlight w:val="none"/>
                <w14:textFill>
                  <w14:solidFill>
                    <w14:schemeClr w14:val="tx1"/>
                  </w14:solidFill>
                </w14:textFill>
              </w:rPr>
              <w:t>1</w:t>
            </w:r>
          </w:p>
        </w:tc>
        <w:tc>
          <w:tcPr>
            <w:tcW w:w="2013" w:type="dxa"/>
            <w:vAlign w:val="center"/>
          </w:tcPr>
          <w:p w14:paraId="44738D08">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扩展能力</w:t>
            </w:r>
          </w:p>
        </w:tc>
        <w:tc>
          <w:tcPr>
            <w:tcW w:w="4892" w:type="dxa"/>
            <w:vAlign w:val="center"/>
          </w:tcPr>
          <w:p w14:paraId="1FF633C4">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控制器输入输出接口满足需求且余量不少于4路，以便以后扩展。</w:t>
            </w:r>
          </w:p>
        </w:tc>
      </w:tr>
      <w:bookmarkEnd w:id="339"/>
      <w:tr w14:paraId="56861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817" w:type="dxa"/>
            <w:vAlign w:val="center"/>
          </w:tcPr>
          <w:p w14:paraId="222D0D15">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2</w:t>
            </w:r>
          </w:p>
        </w:tc>
        <w:tc>
          <w:tcPr>
            <w:tcW w:w="2013" w:type="dxa"/>
            <w:vAlign w:val="center"/>
          </w:tcPr>
          <w:p w14:paraId="355B9FAB">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防</w:t>
            </w:r>
            <w:r>
              <w:rPr>
                <w:rFonts w:hint="eastAsia" w:ascii="宋体" w:hAnsi="宋体" w:cs="宋体" w:eastAsiaTheme="minorHAnsi"/>
                <w:color w:val="000000" w:themeColor="text1"/>
                <w:sz w:val="22"/>
                <w:szCs w:val="21"/>
                <w:highlight w:val="none"/>
                <w14:textFill>
                  <w14:solidFill>
                    <w14:schemeClr w14:val="tx1"/>
                  </w14:solidFill>
                </w14:textFill>
              </w:rPr>
              <w:t>雷抗干扰能力</w:t>
            </w:r>
          </w:p>
        </w:tc>
        <w:tc>
          <w:tcPr>
            <w:tcW w:w="4892" w:type="dxa"/>
            <w:vAlign w:val="center"/>
          </w:tcPr>
          <w:p w14:paraId="17093013">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符</w:t>
            </w:r>
            <w:r>
              <w:rPr>
                <w:rFonts w:hint="eastAsia" w:ascii="宋体" w:hAnsi="宋体" w:cs="宋体" w:eastAsiaTheme="minorHAnsi"/>
                <w:color w:val="000000" w:themeColor="text1"/>
                <w:sz w:val="22"/>
                <w:szCs w:val="21"/>
                <w:highlight w:val="none"/>
                <w14:textFill>
                  <w14:solidFill>
                    <w14:schemeClr w14:val="tx1"/>
                  </w14:solidFill>
                </w14:textFill>
              </w:rPr>
              <w:t>合抗电磁辐射、电磁感应的相关规定，具备电源隔离和信号隔离措施。</w:t>
            </w:r>
          </w:p>
        </w:tc>
      </w:tr>
    </w:tbl>
    <w:p w14:paraId="7051E2D3">
      <w:pPr>
        <w:rPr>
          <w:color w:val="000000" w:themeColor="text1"/>
          <w:highlight w:val="none"/>
          <w14:textFill>
            <w14:solidFill>
              <w14:schemeClr w14:val="tx1"/>
            </w14:solidFill>
          </w14:textFill>
        </w:rPr>
      </w:pPr>
    </w:p>
    <w:p w14:paraId="1077B988">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4.数据采集与传输单元</w:t>
      </w:r>
    </w:p>
    <w:p w14:paraId="5C155A11">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数据采集与传输采用以无线通讯（4G或以上）或有线通讯，并可接入虚拟专用网络数据传输方式，一点多传数据远传通讯方式，无线通讯方式实时在线，通讯周期频率可按需实时可调，实现相应的数据标示、关键参数、工作状态、告警信息上报，并响应平台下发的控制命令，功能满足《HJ 915-2017 地表水自动监测技术规范》要求。</w:t>
      </w:r>
    </w:p>
    <w:p w14:paraId="3A2D18D7">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5.辅助单元</w:t>
      </w:r>
    </w:p>
    <w:p w14:paraId="6F1EC1B3">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辅助单元应包含UPS不间断电源、试剂冷藏单元、恒温制冷系统、自动留样设备、稳压电源、废液单元。</w:t>
      </w:r>
    </w:p>
    <w:p w14:paraId="09F9E8D1">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（1）配备UPS采用优质产品，额定容量≥1KVA，具有正弦波、断电保护、自动恢复、过载保护等功能；</w:t>
      </w:r>
    </w:p>
    <w:p w14:paraId="536545E8">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（2）应配备试剂冷藏单元，保证需冷藏的化学试剂处于4±2℃低温保存；</w:t>
      </w:r>
    </w:p>
    <w:p w14:paraId="6F37C705">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（3）应配备恒温制冷系统，整体控制系统温度，使空间温度调整至适宜温度。</w:t>
      </w:r>
    </w:p>
    <w:p w14:paraId="49DB00A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（4）应配备自动留样设备，应具备管径大、流速快的特点，能有效避免管路堵塞。</w:t>
      </w:r>
    </w:p>
    <w:p w14:paraId="71B5E268">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（5）应配备稳压电源及废液单元，稳压电源功率大于3KW；废液单元应满足实现将水质分析仪表测量完成后的废液进入专用废液收集装置中，防止污染周围环境和影响水质。</w:t>
      </w:r>
    </w:p>
    <w:p w14:paraId="69BBAFC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6.户外一体化机柜站房要求</w:t>
      </w:r>
    </w:p>
    <w:p w14:paraId="6052889B">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1）基本要求</w:t>
      </w:r>
    </w:p>
    <w:p w14:paraId="594F880F">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（1）整个柜体占地面积约为1平方米；</w:t>
      </w:r>
    </w:p>
    <w:p w14:paraId="5B239AEA">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（2）一体化柜具有密闭性能、防水防冲击性能，满足GJB870-90有关要求，柜体整体防护等级达到IP55以上；</w:t>
      </w:r>
    </w:p>
    <w:p w14:paraId="7FFAD95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（3）一体化柜配置环境监控功能：对站房温湿度、烟雾、漏水进行实时监控，提升一体化站的安全性，减少意外发生，保障设备的运行。</w:t>
      </w:r>
    </w:p>
    <w:p w14:paraId="55702895">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（4）柜内部进行隔热保温处理，夹层采用防火隔热的岩棉；</w:t>
      </w:r>
    </w:p>
    <w:p w14:paraId="4AD1B777">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（5）柜体整体具有耐腐蚀性能：外表面喷塑专用防锈漆，具有很好的防锈、防腐、抗盐雾性。</w:t>
      </w:r>
    </w:p>
    <w:p w14:paraId="6A783A2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（6）柜体配置集成空调，自动调节柜内温度，保证柜体内部在室温环境下，满足系统及仪表对温度的要求；</w:t>
      </w:r>
    </w:p>
    <w:p w14:paraId="215CCA68">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7）给排水：从附近引入自来水（自来水的瞬时最大流量3立方米/小时，压力不小于0.5千克/平方厘米，保证每次清洗用量不小于1立方米），自来水管宜采用PPR双热熔复合管或UPVC给水管；排水管采用UPVC管材，粘接连口，并应有坡度，实施有组织排水;排水总管径不小于DN150，以保证排水畅通，并注意配备防冻措施。排水管出水口高于河水最高洪水水位，设在采水点下游或市政排水官网。</w:t>
      </w:r>
    </w:p>
    <w:p w14:paraId="7FCDCD7F">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（8）供电：从附近引入220V交流电至一体化柜位置，现场必须做好防止漏电的保护措施，严格执行接地、接零等相关要求。</w:t>
      </w:r>
    </w:p>
    <w:p w14:paraId="1551798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（9）防雷系统应符合现行国家标准《建筑防雷设计规范》的规定，并应由具有相关资质的单位进行设计、施工以及验收。</w:t>
      </w:r>
    </w:p>
    <w:p w14:paraId="71B0C5C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（10）通讯：敷设光纤或ADSL有线网络进入集成柜位置，或采用无线网络通讯。</w:t>
      </w:r>
    </w:p>
    <w:p w14:paraId="25A1306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2）辅助设施要求</w:t>
      </w:r>
    </w:p>
    <w:p w14:paraId="33CB8F41">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（1）站房包括用于承载系统仪器、设备的主体建筑物和外部配套设施两部分，保证水站系统长期、稳定运行。</w:t>
      </w:r>
    </w:p>
    <w:p w14:paraId="2343794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（2）外部配套设施是指引入清洁水、通电、通讯和通路，以及周边土地的平整、绿化等。</w:t>
      </w:r>
    </w:p>
    <w:p w14:paraId="6E91136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（3）现场地基：采用混凝土预先浇注，厚度不低于30厘米。遇软弱地基时做相应的地基处理。地基位置及高度考虑抵御50年一遇洪水，若户外小型站需建在斜坡上，使用混凝土基础+构造柱+水泥基座。</w:t>
      </w:r>
    </w:p>
    <w:p w14:paraId="4EA32CF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（4）站房外地面要求平整，周围干净整洁，有利于排水，并有适当绿化，配套防鼠、防虫措施。在站房外设置防护栅栏、遮阳防雨棚，设置门锁何相关警示标志。</w:t>
      </w:r>
    </w:p>
    <w:p w14:paraId="6501D16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3）供电要求</w:t>
      </w:r>
    </w:p>
    <w:p w14:paraId="11CC5BE7">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（1）供电负荷等级和供电要求按现行国家标准《供配电系统设计规范》（GB 50052）的规定执行。</w:t>
      </w:r>
    </w:p>
    <w:p w14:paraId="67EE78D1">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（2）从附近引入220V电至一体化柜位置，现场必须做好防止漏电的保护措施，严格执行接地、接零等相关要求。</w:t>
      </w:r>
    </w:p>
    <w:p w14:paraId="429DEA34">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（3）电源线引入方式符合国家相关标准，穿墙时采用穿墙管。施工参考《建筑电气工程施工质量验收规范》（GB 50303-2002）。</w:t>
      </w:r>
    </w:p>
    <w:p w14:paraId="3F2EA588">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（4）电源动力线和通讯线、信号线相互屏蔽，以免产生电磁干扰。</w:t>
      </w:r>
    </w:p>
    <w:p w14:paraId="7B9127A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4）给排水要求</w:t>
      </w:r>
    </w:p>
    <w:p w14:paraId="0AABE673">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（1）站房根据仪器等对水质、水压和水量的要求设置给水系统。</w:t>
      </w:r>
    </w:p>
    <w:p w14:paraId="7FB49214">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（2）站房内具备条件的可引入自来水（或井水）。自来水的水量瞬时最小流量3立方米/小时，压力不小于0.5千克/平方厘米，保证每次清洗用量不小于1立方米。</w:t>
      </w:r>
    </w:p>
    <w:p w14:paraId="4D551455">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（3）站房的总排水排入采水点的下游，排水点与采水点间的距离大于20米。各类试剂废水按照危废管理要求单独收集、存放和储运，并统一处置。</w:t>
      </w:r>
    </w:p>
    <w:p w14:paraId="53F9DF83">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5）通讯要求</w:t>
      </w:r>
    </w:p>
    <w:p w14:paraId="34008E3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站房网络通讯建设以光纤/ADSL有线网络传输为主，现场条件不具备的情况下，可选用无线网络进行传输，站点现场通过手机等通讯设备进行通话测试，通讯方式选择至少两家通讯运营商，无线传输网络（固定IP优先）满足数据传输要求及视频远程查看要求，传输带宽不小于20兆。</w:t>
      </w:r>
    </w:p>
    <w:p w14:paraId="145D985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（2）均满足水质自动监测站的分析数据与运行日志信息的传输要求。</w:t>
      </w:r>
    </w:p>
    <w:p w14:paraId="65AA4E2B">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6）安全防护要求</w:t>
      </w:r>
    </w:p>
    <w:p w14:paraId="5185BE88">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（1）站房耐火等级符合现行国家标准《建筑设计防火规范》（GB 50016）的规定。</w:t>
      </w:r>
    </w:p>
    <w:p w14:paraId="12EB4B5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（2）站房内使用的材料需为耐火材料。</w:t>
      </w:r>
    </w:p>
    <w:p w14:paraId="67B6EE19">
      <w:pPr>
        <w:pStyle w:val="6"/>
        <w:ind w:firstLine="391"/>
        <w:rPr>
          <w:color w:val="000000" w:themeColor="text1"/>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考核要求</w:t>
      </w:r>
    </w:p>
    <w:p w14:paraId="6FD92193">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采购人管理部门组织开展运维服务质量考核，对达不到运维要求或违规操作的，采购人管理部门可以扣减相应的运维费，并有权终止运维合同。 </w:t>
      </w:r>
    </w:p>
    <w:p w14:paraId="77EA0533">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1、监督管理 </w:t>
      </w:r>
    </w:p>
    <w:p w14:paraId="67D67F05">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（1）成交供应商承担监测数据的保密责任（签订保密协议），不得利用本项目的数据、档案或有关资料对外开展技术交流、业务联系、数据交换等。否则，采购人有权终止合同。 </w:t>
      </w:r>
    </w:p>
    <w:p w14:paraId="2AD3C8A5">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（2）运维期间出现调整数据、修改参数、改动设备、弄虚作假等违规行为的，采购人有权终止运维合同。 </w:t>
      </w:r>
    </w:p>
    <w:p w14:paraId="19C53603">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2、考核办法</w:t>
      </w:r>
    </w:p>
    <w:p w14:paraId="3DB5E34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采购人每期运维结束后对成交供应商运维服务质量考核。考核采取百分制、整体考核的方式，成交供应商提供运维工作报告，对维护工作进行汇总，由采购人管理部门根据考核评分表进行考核评分。</w:t>
      </w:r>
    </w:p>
    <w:p w14:paraId="05DD4B54">
      <w:pPr>
        <w:pStyle w:val="3"/>
        <w:rPr>
          <w:color w:val="000000" w:themeColor="text1"/>
          <w:highlight w:val="none"/>
          <w14:textFill>
            <w14:solidFill>
              <w14:schemeClr w14:val="tx1"/>
            </w14:solidFill>
          </w14:textFill>
        </w:rPr>
      </w:pPr>
    </w:p>
    <w:p w14:paraId="159F86E5">
      <w:pPr>
        <w:pStyle w:val="60"/>
        <w:ind w:firstLine="442"/>
        <w:rPr>
          <w:rFonts w:hint="eastAsia" w:ascii="宋体" w:hAnsi="宋体" w:cs="宋体"/>
          <w:b/>
          <w:bCs/>
          <w:color w:val="000000" w:themeColor="text1"/>
          <w:sz w:val="22"/>
          <w:szCs w:val="22"/>
          <w:highlight w:val="none"/>
          <w14:textFill>
            <w14:solidFill>
              <w14:schemeClr w14:val="tx1"/>
            </w14:solidFill>
          </w14:textFill>
        </w:rPr>
      </w:pPr>
    </w:p>
    <w:p w14:paraId="2406CD92">
      <w:pPr>
        <w:pStyle w:val="60"/>
        <w:ind w:firstLine="442"/>
        <w:rPr>
          <w:rFonts w:hint="eastAsia" w:ascii="宋体" w:hAnsi="宋体" w:cs="宋体"/>
          <w:b/>
          <w:bCs/>
          <w:color w:val="000000" w:themeColor="text1"/>
          <w:sz w:val="22"/>
          <w:szCs w:val="22"/>
          <w:highlight w:val="none"/>
          <w14:textFill>
            <w14:solidFill>
              <w14:schemeClr w14:val="tx1"/>
            </w14:solidFill>
          </w14:textFill>
        </w:rPr>
      </w:pPr>
    </w:p>
    <w:p w14:paraId="34090D5E">
      <w:pPr>
        <w:pStyle w:val="60"/>
        <w:ind w:firstLine="442"/>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考核评分表</w:t>
      </w:r>
    </w:p>
    <w:tbl>
      <w:tblPr>
        <w:tblStyle w:val="22"/>
        <w:tblW w:w="9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488"/>
        <w:gridCol w:w="962"/>
        <w:gridCol w:w="450"/>
        <w:gridCol w:w="5867"/>
        <w:gridCol w:w="567"/>
        <w:gridCol w:w="567"/>
      </w:tblGrid>
      <w:tr w14:paraId="494DD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9" w:type="dxa"/>
            <w:tcMar>
              <w:top w:w="15" w:type="dxa"/>
              <w:left w:w="15" w:type="dxa"/>
              <w:bottom w:w="15" w:type="dxa"/>
              <w:right w:w="15" w:type="dxa"/>
            </w:tcMar>
            <w:vAlign w:val="center"/>
          </w:tcPr>
          <w:p w14:paraId="5A5292E2">
            <w:pPr>
              <w:widowControl/>
              <w:adjustRightInd/>
              <w:spacing w:line="360" w:lineRule="auto"/>
              <w:ind w:firstLine="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项</w:t>
            </w:r>
            <w:r>
              <w:rPr>
                <w:rFonts w:hint="eastAsia" w:ascii="宋体" w:hAnsi="宋体" w:cs="宋体" w:eastAsiaTheme="minorHAnsi"/>
                <w:color w:val="000000" w:themeColor="text1"/>
                <w:sz w:val="22"/>
                <w:szCs w:val="21"/>
                <w:highlight w:val="none"/>
                <w14:textFill>
                  <w14:solidFill>
                    <w14:schemeClr w14:val="tx1"/>
                  </w14:solidFill>
                </w14:textFill>
              </w:rPr>
              <w:t>目</w:t>
            </w:r>
          </w:p>
        </w:tc>
        <w:tc>
          <w:tcPr>
            <w:tcW w:w="488" w:type="dxa"/>
            <w:tcMar>
              <w:top w:w="15" w:type="dxa"/>
              <w:left w:w="15" w:type="dxa"/>
              <w:bottom w:w="15" w:type="dxa"/>
              <w:right w:w="15" w:type="dxa"/>
            </w:tcMar>
            <w:vAlign w:val="center"/>
          </w:tcPr>
          <w:p w14:paraId="2CD9C9BC">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序</w:t>
            </w:r>
            <w:r>
              <w:rPr>
                <w:rFonts w:hint="eastAsia" w:ascii="宋体" w:hAnsi="宋体" w:cs="宋体" w:eastAsiaTheme="minorHAnsi"/>
                <w:color w:val="000000" w:themeColor="text1"/>
                <w:sz w:val="22"/>
                <w:szCs w:val="21"/>
                <w:highlight w:val="none"/>
                <w14:textFill>
                  <w14:solidFill>
                    <w14:schemeClr w14:val="tx1"/>
                  </w14:solidFill>
                </w14:textFill>
              </w:rPr>
              <w:t>号</w:t>
            </w:r>
          </w:p>
        </w:tc>
        <w:tc>
          <w:tcPr>
            <w:tcW w:w="962" w:type="dxa"/>
            <w:tcMar>
              <w:top w:w="15" w:type="dxa"/>
              <w:left w:w="15" w:type="dxa"/>
              <w:bottom w:w="15" w:type="dxa"/>
              <w:right w:w="15" w:type="dxa"/>
            </w:tcMar>
            <w:vAlign w:val="center"/>
          </w:tcPr>
          <w:p w14:paraId="3A1CFEC6">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考</w:t>
            </w:r>
            <w:r>
              <w:rPr>
                <w:rFonts w:hint="eastAsia" w:ascii="宋体" w:hAnsi="宋体" w:cs="宋体" w:eastAsiaTheme="minorHAnsi"/>
                <w:color w:val="000000" w:themeColor="text1"/>
                <w:sz w:val="22"/>
                <w:szCs w:val="21"/>
                <w:highlight w:val="none"/>
                <w14:textFill>
                  <w14:solidFill>
                    <w14:schemeClr w14:val="tx1"/>
                  </w14:solidFill>
                </w14:textFill>
              </w:rPr>
              <w:t>核内容</w:t>
            </w:r>
          </w:p>
        </w:tc>
        <w:tc>
          <w:tcPr>
            <w:tcW w:w="450" w:type="dxa"/>
            <w:tcMar>
              <w:top w:w="15" w:type="dxa"/>
              <w:left w:w="15" w:type="dxa"/>
              <w:bottom w:w="15" w:type="dxa"/>
              <w:right w:w="15" w:type="dxa"/>
            </w:tcMar>
            <w:vAlign w:val="center"/>
          </w:tcPr>
          <w:p w14:paraId="0566C4BB">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分</w:t>
            </w:r>
            <w:r>
              <w:rPr>
                <w:rFonts w:hint="eastAsia" w:ascii="宋体" w:hAnsi="宋体" w:cs="宋体" w:eastAsiaTheme="minorHAnsi"/>
                <w:color w:val="000000" w:themeColor="text1"/>
                <w:sz w:val="22"/>
                <w:szCs w:val="21"/>
                <w:highlight w:val="none"/>
                <w14:textFill>
                  <w14:solidFill>
                    <w14:schemeClr w14:val="tx1"/>
                  </w14:solidFill>
                </w14:textFill>
              </w:rPr>
              <w:t>值</w:t>
            </w:r>
          </w:p>
        </w:tc>
        <w:tc>
          <w:tcPr>
            <w:tcW w:w="5867" w:type="dxa"/>
            <w:tcMar>
              <w:top w:w="15" w:type="dxa"/>
              <w:left w:w="15" w:type="dxa"/>
              <w:bottom w:w="15" w:type="dxa"/>
              <w:right w:w="15" w:type="dxa"/>
            </w:tcMar>
            <w:vAlign w:val="center"/>
          </w:tcPr>
          <w:p w14:paraId="5295E265">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评</w:t>
            </w:r>
            <w:r>
              <w:rPr>
                <w:rFonts w:hint="eastAsia" w:ascii="宋体" w:hAnsi="宋体" w:cs="宋体" w:eastAsiaTheme="minorHAnsi"/>
                <w:color w:val="000000" w:themeColor="text1"/>
                <w:sz w:val="22"/>
                <w:szCs w:val="21"/>
                <w:highlight w:val="none"/>
                <w14:textFill>
                  <w14:solidFill>
                    <w14:schemeClr w14:val="tx1"/>
                  </w14:solidFill>
                </w14:textFill>
              </w:rPr>
              <w:t>分细则</w:t>
            </w:r>
          </w:p>
        </w:tc>
        <w:tc>
          <w:tcPr>
            <w:tcW w:w="567" w:type="dxa"/>
            <w:tcMar>
              <w:top w:w="15" w:type="dxa"/>
              <w:left w:w="15" w:type="dxa"/>
              <w:bottom w:w="15" w:type="dxa"/>
              <w:right w:w="15" w:type="dxa"/>
            </w:tcMar>
            <w:vAlign w:val="center"/>
          </w:tcPr>
          <w:p w14:paraId="5B1B19D3">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扣</w:t>
            </w:r>
            <w:r>
              <w:rPr>
                <w:rFonts w:hint="eastAsia" w:ascii="宋体" w:hAnsi="宋体" w:cs="宋体" w:eastAsiaTheme="minorHAnsi"/>
                <w:color w:val="000000" w:themeColor="text1"/>
                <w:sz w:val="22"/>
                <w:szCs w:val="21"/>
                <w:highlight w:val="none"/>
                <w14:textFill>
                  <w14:solidFill>
                    <w14:schemeClr w14:val="tx1"/>
                  </w14:solidFill>
                </w14:textFill>
              </w:rPr>
              <w:t>分</w:t>
            </w:r>
          </w:p>
        </w:tc>
        <w:tc>
          <w:tcPr>
            <w:tcW w:w="567" w:type="dxa"/>
            <w:tcMar>
              <w:top w:w="15" w:type="dxa"/>
              <w:left w:w="15" w:type="dxa"/>
              <w:bottom w:w="15" w:type="dxa"/>
              <w:right w:w="15" w:type="dxa"/>
            </w:tcMar>
            <w:vAlign w:val="center"/>
          </w:tcPr>
          <w:p w14:paraId="39BAAB63">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备</w:t>
            </w:r>
            <w:r>
              <w:rPr>
                <w:rFonts w:hint="eastAsia" w:ascii="宋体" w:hAnsi="宋体" w:cs="宋体" w:eastAsiaTheme="minorHAnsi"/>
                <w:color w:val="000000" w:themeColor="text1"/>
                <w:sz w:val="22"/>
                <w:szCs w:val="21"/>
                <w:highlight w:val="none"/>
                <w14:textFill>
                  <w14:solidFill>
                    <w14:schemeClr w14:val="tx1"/>
                  </w14:solidFill>
                </w14:textFill>
              </w:rPr>
              <w:t>注</w:t>
            </w:r>
          </w:p>
        </w:tc>
      </w:tr>
      <w:tr w14:paraId="46B5E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9" w:type="dxa"/>
            <w:vMerge w:val="restart"/>
            <w:tcMar>
              <w:top w:w="15" w:type="dxa"/>
              <w:left w:w="15" w:type="dxa"/>
              <w:bottom w:w="15" w:type="dxa"/>
              <w:right w:w="15" w:type="dxa"/>
            </w:tcMar>
            <w:vAlign w:val="center"/>
          </w:tcPr>
          <w:p w14:paraId="4A84B52E">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一</w:t>
            </w:r>
            <w:r>
              <w:rPr>
                <w:rFonts w:hint="eastAsia" w:ascii="宋体" w:hAnsi="宋体" w:cs="宋体" w:eastAsiaTheme="minorHAnsi"/>
                <w:color w:val="000000" w:themeColor="text1"/>
                <w:sz w:val="22"/>
                <w:szCs w:val="21"/>
                <w:highlight w:val="none"/>
                <w14:textFill>
                  <w14:solidFill>
                    <w14:schemeClr w14:val="tx1"/>
                  </w14:solidFill>
                </w14:textFill>
              </w:rPr>
              <w:t>、资源配备（30分）</w:t>
            </w:r>
          </w:p>
        </w:tc>
        <w:tc>
          <w:tcPr>
            <w:tcW w:w="488" w:type="dxa"/>
            <w:tcMar>
              <w:top w:w="15" w:type="dxa"/>
              <w:left w:w="15" w:type="dxa"/>
              <w:bottom w:w="15" w:type="dxa"/>
              <w:right w:w="15" w:type="dxa"/>
            </w:tcMar>
            <w:vAlign w:val="center"/>
          </w:tcPr>
          <w:p w14:paraId="60276FF7">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1</w:t>
            </w:r>
          </w:p>
        </w:tc>
        <w:tc>
          <w:tcPr>
            <w:tcW w:w="962" w:type="dxa"/>
            <w:tcMar>
              <w:top w:w="15" w:type="dxa"/>
              <w:left w:w="15" w:type="dxa"/>
              <w:bottom w:w="15" w:type="dxa"/>
              <w:right w:w="15" w:type="dxa"/>
            </w:tcMar>
            <w:vAlign w:val="center"/>
          </w:tcPr>
          <w:p w14:paraId="63FF30CB">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人</w:t>
            </w:r>
            <w:r>
              <w:rPr>
                <w:rFonts w:hint="eastAsia" w:ascii="宋体" w:hAnsi="宋体" w:cs="宋体" w:eastAsiaTheme="minorHAnsi"/>
                <w:color w:val="000000" w:themeColor="text1"/>
                <w:sz w:val="22"/>
                <w:szCs w:val="21"/>
                <w:highlight w:val="none"/>
                <w14:textFill>
                  <w14:solidFill>
                    <w14:schemeClr w14:val="tx1"/>
                  </w14:solidFill>
                </w14:textFill>
              </w:rPr>
              <w:t>员配备</w:t>
            </w:r>
          </w:p>
        </w:tc>
        <w:tc>
          <w:tcPr>
            <w:tcW w:w="450" w:type="dxa"/>
            <w:tcMar>
              <w:top w:w="15" w:type="dxa"/>
              <w:left w:w="15" w:type="dxa"/>
              <w:bottom w:w="15" w:type="dxa"/>
              <w:right w:w="15" w:type="dxa"/>
            </w:tcMar>
            <w:vAlign w:val="center"/>
          </w:tcPr>
          <w:p w14:paraId="4FFFC253">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10</w:t>
            </w:r>
          </w:p>
        </w:tc>
        <w:tc>
          <w:tcPr>
            <w:tcW w:w="5867" w:type="dxa"/>
            <w:tcMar>
              <w:top w:w="15" w:type="dxa"/>
              <w:left w:w="15" w:type="dxa"/>
              <w:bottom w:w="15" w:type="dxa"/>
              <w:right w:w="15" w:type="dxa"/>
            </w:tcMar>
            <w:vAlign w:val="center"/>
          </w:tcPr>
          <w:p w14:paraId="21CEB72E">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需</w:t>
            </w:r>
            <w:r>
              <w:rPr>
                <w:rFonts w:hint="eastAsia" w:ascii="宋体" w:hAnsi="宋体" w:cs="宋体" w:eastAsiaTheme="minorHAnsi"/>
                <w:color w:val="000000" w:themeColor="text1"/>
                <w:sz w:val="22"/>
                <w:szCs w:val="21"/>
                <w:highlight w:val="none"/>
                <w14:textFill>
                  <w14:solidFill>
                    <w14:schemeClr w14:val="tx1"/>
                  </w14:solidFill>
                </w14:textFill>
              </w:rPr>
              <w:t>符合招标要求，否则扣10分</w:t>
            </w:r>
          </w:p>
        </w:tc>
        <w:tc>
          <w:tcPr>
            <w:tcW w:w="567" w:type="dxa"/>
            <w:tcMar>
              <w:top w:w="15" w:type="dxa"/>
              <w:left w:w="15" w:type="dxa"/>
              <w:bottom w:w="15" w:type="dxa"/>
              <w:right w:w="15" w:type="dxa"/>
            </w:tcMar>
            <w:vAlign w:val="center"/>
          </w:tcPr>
          <w:p w14:paraId="12562F10">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567" w:type="dxa"/>
            <w:tcMar>
              <w:top w:w="15" w:type="dxa"/>
              <w:left w:w="15" w:type="dxa"/>
              <w:bottom w:w="15" w:type="dxa"/>
              <w:right w:w="15" w:type="dxa"/>
            </w:tcMar>
            <w:vAlign w:val="center"/>
          </w:tcPr>
          <w:p w14:paraId="0F583A01">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r>
      <w:tr w14:paraId="1B697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9" w:type="dxa"/>
            <w:vMerge w:val="continue"/>
            <w:vAlign w:val="center"/>
          </w:tcPr>
          <w:p w14:paraId="4C4DA6F7">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488" w:type="dxa"/>
            <w:tcMar>
              <w:top w:w="15" w:type="dxa"/>
              <w:left w:w="15" w:type="dxa"/>
              <w:bottom w:w="15" w:type="dxa"/>
              <w:right w:w="15" w:type="dxa"/>
            </w:tcMar>
            <w:vAlign w:val="center"/>
          </w:tcPr>
          <w:p w14:paraId="5A0B3E27">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2</w:t>
            </w:r>
          </w:p>
        </w:tc>
        <w:tc>
          <w:tcPr>
            <w:tcW w:w="962" w:type="dxa"/>
            <w:tcMar>
              <w:top w:w="15" w:type="dxa"/>
              <w:left w:w="15" w:type="dxa"/>
              <w:bottom w:w="15" w:type="dxa"/>
              <w:right w:w="15" w:type="dxa"/>
            </w:tcMar>
            <w:vAlign w:val="center"/>
          </w:tcPr>
          <w:p w14:paraId="7C5C31A2">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办</w:t>
            </w:r>
            <w:r>
              <w:rPr>
                <w:rFonts w:hint="eastAsia" w:ascii="宋体" w:hAnsi="宋体" w:cs="宋体" w:eastAsiaTheme="minorHAnsi"/>
                <w:color w:val="000000" w:themeColor="text1"/>
                <w:sz w:val="22"/>
                <w:szCs w:val="21"/>
                <w:highlight w:val="none"/>
                <w14:textFill>
                  <w14:solidFill>
                    <w14:schemeClr w14:val="tx1"/>
                  </w14:solidFill>
                </w14:textFill>
              </w:rPr>
              <w:t>公场所、车辆配备</w:t>
            </w:r>
          </w:p>
        </w:tc>
        <w:tc>
          <w:tcPr>
            <w:tcW w:w="450" w:type="dxa"/>
            <w:tcMar>
              <w:top w:w="15" w:type="dxa"/>
              <w:left w:w="15" w:type="dxa"/>
              <w:bottom w:w="15" w:type="dxa"/>
              <w:right w:w="15" w:type="dxa"/>
            </w:tcMar>
            <w:vAlign w:val="center"/>
          </w:tcPr>
          <w:p w14:paraId="77E92163">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10</w:t>
            </w:r>
          </w:p>
        </w:tc>
        <w:tc>
          <w:tcPr>
            <w:tcW w:w="5867" w:type="dxa"/>
            <w:tcMar>
              <w:top w:w="15" w:type="dxa"/>
              <w:left w:w="15" w:type="dxa"/>
              <w:bottom w:w="15" w:type="dxa"/>
              <w:right w:w="15" w:type="dxa"/>
            </w:tcMar>
            <w:vAlign w:val="center"/>
          </w:tcPr>
          <w:p w14:paraId="45B2D7D0">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1、配备专用的运维车辆，否则扣10分</w:t>
            </w:r>
          </w:p>
          <w:p w14:paraId="790E2259">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2、运维人员应按照规定使用运维车，未经采购人同意，私自使用车辆从事非运维工作的，每次扣1分</w:t>
            </w:r>
          </w:p>
        </w:tc>
        <w:tc>
          <w:tcPr>
            <w:tcW w:w="567" w:type="dxa"/>
            <w:tcMar>
              <w:top w:w="15" w:type="dxa"/>
              <w:left w:w="15" w:type="dxa"/>
              <w:bottom w:w="15" w:type="dxa"/>
              <w:right w:w="15" w:type="dxa"/>
            </w:tcMar>
            <w:vAlign w:val="center"/>
          </w:tcPr>
          <w:p w14:paraId="2E489DBB">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567" w:type="dxa"/>
            <w:tcMar>
              <w:top w:w="15" w:type="dxa"/>
              <w:left w:w="15" w:type="dxa"/>
              <w:bottom w:w="15" w:type="dxa"/>
              <w:right w:w="15" w:type="dxa"/>
            </w:tcMar>
            <w:vAlign w:val="center"/>
          </w:tcPr>
          <w:p w14:paraId="32D7C9E7">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r>
      <w:tr w14:paraId="555EC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9" w:type="dxa"/>
            <w:vMerge w:val="continue"/>
            <w:vAlign w:val="center"/>
          </w:tcPr>
          <w:p w14:paraId="389C1362">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488" w:type="dxa"/>
            <w:tcMar>
              <w:top w:w="15" w:type="dxa"/>
              <w:left w:w="15" w:type="dxa"/>
              <w:bottom w:w="15" w:type="dxa"/>
              <w:right w:w="15" w:type="dxa"/>
            </w:tcMar>
            <w:vAlign w:val="center"/>
          </w:tcPr>
          <w:p w14:paraId="56A063ED">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3</w:t>
            </w:r>
          </w:p>
        </w:tc>
        <w:tc>
          <w:tcPr>
            <w:tcW w:w="962" w:type="dxa"/>
            <w:tcMar>
              <w:top w:w="15" w:type="dxa"/>
              <w:left w:w="15" w:type="dxa"/>
              <w:bottom w:w="15" w:type="dxa"/>
              <w:right w:w="15" w:type="dxa"/>
            </w:tcMar>
            <w:vAlign w:val="center"/>
          </w:tcPr>
          <w:p w14:paraId="62266651">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备</w:t>
            </w:r>
            <w:r>
              <w:rPr>
                <w:rFonts w:hint="eastAsia" w:ascii="宋体" w:hAnsi="宋体" w:cs="宋体" w:eastAsiaTheme="minorHAnsi"/>
                <w:color w:val="000000" w:themeColor="text1"/>
                <w:sz w:val="22"/>
                <w:szCs w:val="21"/>
                <w:highlight w:val="none"/>
                <w14:textFill>
                  <w14:solidFill>
                    <w14:schemeClr w14:val="tx1"/>
                  </w14:solidFill>
                </w14:textFill>
              </w:rPr>
              <w:t>品备件</w:t>
            </w:r>
          </w:p>
        </w:tc>
        <w:tc>
          <w:tcPr>
            <w:tcW w:w="450" w:type="dxa"/>
            <w:tcMar>
              <w:top w:w="15" w:type="dxa"/>
              <w:left w:w="15" w:type="dxa"/>
              <w:bottom w:w="15" w:type="dxa"/>
              <w:right w:w="15" w:type="dxa"/>
            </w:tcMar>
            <w:vAlign w:val="center"/>
          </w:tcPr>
          <w:p w14:paraId="76302EDA">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10</w:t>
            </w:r>
          </w:p>
        </w:tc>
        <w:tc>
          <w:tcPr>
            <w:tcW w:w="5867" w:type="dxa"/>
            <w:tcMar>
              <w:top w:w="15" w:type="dxa"/>
              <w:left w:w="15" w:type="dxa"/>
              <w:bottom w:w="15" w:type="dxa"/>
              <w:right w:w="15" w:type="dxa"/>
            </w:tcMar>
            <w:vAlign w:val="center"/>
          </w:tcPr>
          <w:p w14:paraId="318263F2">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1、每月提供备品备件清单，缺失一次扣1分</w:t>
            </w:r>
          </w:p>
          <w:p w14:paraId="72411367">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2、每月清点，备件存有数量低于本招标文件要求的，每项每次扣1分</w:t>
            </w:r>
          </w:p>
        </w:tc>
        <w:tc>
          <w:tcPr>
            <w:tcW w:w="567" w:type="dxa"/>
            <w:tcMar>
              <w:top w:w="15" w:type="dxa"/>
              <w:left w:w="15" w:type="dxa"/>
              <w:bottom w:w="15" w:type="dxa"/>
              <w:right w:w="15" w:type="dxa"/>
            </w:tcMar>
            <w:vAlign w:val="center"/>
          </w:tcPr>
          <w:p w14:paraId="4592441D">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567" w:type="dxa"/>
            <w:tcMar>
              <w:top w:w="15" w:type="dxa"/>
              <w:left w:w="15" w:type="dxa"/>
              <w:bottom w:w="15" w:type="dxa"/>
              <w:right w:w="15" w:type="dxa"/>
            </w:tcMar>
            <w:vAlign w:val="center"/>
          </w:tcPr>
          <w:p w14:paraId="174BE361">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r>
      <w:tr w14:paraId="195FB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9" w:type="dxa"/>
            <w:vMerge w:val="restart"/>
            <w:tcMar>
              <w:top w:w="15" w:type="dxa"/>
              <w:left w:w="15" w:type="dxa"/>
              <w:bottom w:w="15" w:type="dxa"/>
              <w:right w:w="15" w:type="dxa"/>
            </w:tcMar>
            <w:vAlign w:val="center"/>
          </w:tcPr>
          <w:p w14:paraId="3020C2A0">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二</w:t>
            </w:r>
            <w:r>
              <w:rPr>
                <w:rFonts w:hint="eastAsia" w:ascii="宋体" w:hAnsi="宋体" w:cs="宋体" w:eastAsiaTheme="minorHAnsi"/>
                <w:color w:val="000000" w:themeColor="text1"/>
                <w:sz w:val="22"/>
                <w:szCs w:val="21"/>
                <w:highlight w:val="none"/>
                <w14:textFill>
                  <w14:solidFill>
                    <w14:schemeClr w14:val="tx1"/>
                  </w14:solidFill>
                </w14:textFill>
              </w:rPr>
              <w:t>、日常维护（45分）</w:t>
            </w:r>
          </w:p>
        </w:tc>
        <w:tc>
          <w:tcPr>
            <w:tcW w:w="488" w:type="dxa"/>
            <w:tcMar>
              <w:top w:w="15" w:type="dxa"/>
              <w:left w:w="15" w:type="dxa"/>
              <w:bottom w:w="15" w:type="dxa"/>
              <w:right w:w="15" w:type="dxa"/>
            </w:tcMar>
            <w:vAlign w:val="center"/>
          </w:tcPr>
          <w:p w14:paraId="73D7335D">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4</w:t>
            </w:r>
          </w:p>
        </w:tc>
        <w:tc>
          <w:tcPr>
            <w:tcW w:w="962" w:type="dxa"/>
            <w:tcMar>
              <w:top w:w="15" w:type="dxa"/>
              <w:left w:w="15" w:type="dxa"/>
              <w:bottom w:w="15" w:type="dxa"/>
              <w:right w:w="15" w:type="dxa"/>
            </w:tcMar>
            <w:vAlign w:val="center"/>
          </w:tcPr>
          <w:p w14:paraId="21DA5C51">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现</w:t>
            </w:r>
            <w:r>
              <w:rPr>
                <w:rFonts w:hint="eastAsia" w:ascii="宋体" w:hAnsi="宋体" w:cs="宋体" w:eastAsiaTheme="minorHAnsi"/>
                <w:color w:val="000000" w:themeColor="text1"/>
                <w:sz w:val="22"/>
                <w:szCs w:val="21"/>
                <w:highlight w:val="none"/>
                <w14:textFill>
                  <w14:solidFill>
                    <w14:schemeClr w14:val="tx1"/>
                  </w14:solidFill>
                </w14:textFill>
              </w:rPr>
              <w:t>场端监控设备运行环境</w:t>
            </w:r>
          </w:p>
        </w:tc>
        <w:tc>
          <w:tcPr>
            <w:tcW w:w="450" w:type="dxa"/>
            <w:tcMar>
              <w:top w:w="15" w:type="dxa"/>
              <w:left w:w="15" w:type="dxa"/>
              <w:bottom w:w="15" w:type="dxa"/>
              <w:right w:w="15" w:type="dxa"/>
            </w:tcMar>
            <w:vAlign w:val="center"/>
          </w:tcPr>
          <w:p w14:paraId="511447B2">
            <w:pPr>
              <w:widowControl/>
              <w:adjustRightInd/>
              <w:spacing w:line="360" w:lineRule="auto"/>
              <w:ind w:firstLine="22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2</w:t>
            </w:r>
          </w:p>
        </w:tc>
        <w:tc>
          <w:tcPr>
            <w:tcW w:w="5867" w:type="dxa"/>
            <w:tcMar>
              <w:top w:w="15" w:type="dxa"/>
              <w:left w:w="15" w:type="dxa"/>
              <w:bottom w:w="15" w:type="dxa"/>
              <w:right w:w="15" w:type="dxa"/>
            </w:tcMar>
            <w:vAlign w:val="center"/>
          </w:tcPr>
          <w:p w14:paraId="120F6151">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现</w:t>
            </w:r>
            <w:r>
              <w:rPr>
                <w:rFonts w:hint="eastAsia" w:ascii="宋体" w:hAnsi="宋体" w:cs="宋体" w:eastAsiaTheme="minorHAnsi"/>
                <w:color w:val="000000" w:themeColor="text1"/>
                <w:sz w:val="22"/>
                <w:szCs w:val="21"/>
                <w:highlight w:val="none"/>
                <w14:textFill>
                  <w14:solidFill>
                    <w14:schemeClr w14:val="tx1"/>
                  </w14:solidFill>
                </w14:textFill>
              </w:rPr>
              <w:t>场操作人员应保持站房内的卫生和整洁，并严格按所在企业的安全生产要求进行操作，未进行定期清洁维护的，每个点位（次）扣1分</w:t>
            </w:r>
          </w:p>
        </w:tc>
        <w:tc>
          <w:tcPr>
            <w:tcW w:w="567" w:type="dxa"/>
            <w:tcMar>
              <w:top w:w="15" w:type="dxa"/>
              <w:left w:w="15" w:type="dxa"/>
              <w:bottom w:w="15" w:type="dxa"/>
              <w:right w:w="15" w:type="dxa"/>
            </w:tcMar>
            <w:vAlign w:val="center"/>
          </w:tcPr>
          <w:p w14:paraId="7315183F">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567" w:type="dxa"/>
            <w:tcMar>
              <w:top w:w="15" w:type="dxa"/>
              <w:left w:w="15" w:type="dxa"/>
              <w:bottom w:w="15" w:type="dxa"/>
              <w:right w:w="15" w:type="dxa"/>
            </w:tcMar>
            <w:vAlign w:val="center"/>
          </w:tcPr>
          <w:p w14:paraId="0B500F18">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r>
      <w:tr w14:paraId="69433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9" w:type="dxa"/>
            <w:vMerge w:val="continue"/>
            <w:vAlign w:val="center"/>
          </w:tcPr>
          <w:p w14:paraId="07D242E0">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488" w:type="dxa"/>
            <w:tcMar>
              <w:top w:w="15" w:type="dxa"/>
              <w:left w:w="15" w:type="dxa"/>
              <w:bottom w:w="15" w:type="dxa"/>
              <w:right w:w="15" w:type="dxa"/>
            </w:tcMar>
            <w:vAlign w:val="center"/>
          </w:tcPr>
          <w:p w14:paraId="285C4AB1">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5</w:t>
            </w:r>
          </w:p>
        </w:tc>
        <w:tc>
          <w:tcPr>
            <w:tcW w:w="962" w:type="dxa"/>
            <w:tcMar>
              <w:top w:w="15" w:type="dxa"/>
              <w:left w:w="15" w:type="dxa"/>
              <w:bottom w:w="15" w:type="dxa"/>
              <w:right w:w="15" w:type="dxa"/>
            </w:tcMar>
            <w:vAlign w:val="center"/>
          </w:tcPr>
          <w:p w14:paraId="77AA2E6E">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现</w:t>
            </w:r>
            <w:r>
              <w:rPr>
                <w:rFonts w:hint="eastAsia" w:ascii="宋体" w:hAnsi="宋体" w:cs="宋体" w:eastAsiaTheme="minorHAnsi"/>
                <w:color w:val="000000" w:themeColor="text1"/>
                <w:sz w:val="22"/>
                <w:szCs w:val="21"/>
                <w:highlight w:val="none"/>
                <w14:textFill>
                  <w14:solidFill>
                    <w14:schemeClr w14:val="tx1"/>
                  </w14:solidFill>
                </w14:textFill>
              </w:rPr>
              <w:t>场巡检频次情况</w:t>
            </w:r>
          </w:p>
        </w:tc>
        <w:tc>
          <w:tcPr>
            <w:tcW w:w="450" w:type="dxa"/>
            <w:tcMar>
              <w:top w:w="15" w:type="dxa"/>
              <w:left w:w="15" w:type="dxa"/>
              <w:bottom w:w="15" w:type="dxa"/>
              <w:right w:w="15" w:type="dxa"/>
            </w:tcMar>
            <w:vAlign w:val="center"/>
          </w:tcPr>
          <w:p w14:paraId="56C432C3">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10</w:t>
            </w:r>
          </w:p>
        </w:tc>
        <w:tc>
          <w:tcPr>
            <w:tcW w:w="5867" w:type="dxa"/>
            <w:tcMar>
              <w:top w:w="15" w:type="dxa"/>
              <w:left w:w="15" w:type="dxa"/>
              <w:bottom w:w="15" w:type="dxa"/>
              <w:right w:w="15" w:type="dxa"/>
            </w:tcMar>
            <w:vAlign w:val="center"/>
          </w:tcPr>
          <w:p w14:paraId="3FDC45F8">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每</w:t>
            </w:r>
            <w:r>
              <w:rPr>
                <w:rFonts w:hint="eastAsia" w:ascii="宋体" w:hAnsi="宋体" w:cs="宋体" w:eastAsiaTheme="minorHAnsi"/>
                <w:color w:val="000000" w:themeColor="text1"/>
                <w:sz w:val="22"/>
                <w:szCs w:val="21"/>
                <w:highlight w:val="none"/>
                <w14:textFill>
                  <w14:solidFill>
                    <w14:schemeClr w14:val="tx1"/>
                  </w14:solidFill>
                </w14:textFill>
              </w:rPr>
              <w:t>个水质自动监测站必须按要求进行定时巡检，并做好巡检记录，未按时巡检或做好相关记录，每次扣0.5分</w:t>
            </w:r>
          </w:p>
        </w:tc>
        <w:tc>
          <w:tcPr>
            <w:tcW w:w="567" w:type="dxa"/>
            <w:tcMar>
              <w:top w:w="15" w:type="dxa"/>
              <w:left w:w="15" w:type="dxa"/>
              <w:bottom w:w="15" w:type="dxa"/>
              <w:right w:w="15" w:type="dxa"/>
            </w:tcMar>
            <w:vAlign w:val="center"/>
          </w:tcPr>
          <w:p w14:paraId="007520DA">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567" w:type="dxa"/>
            <w:tcMar>
              <w:top w:w="15" w:type="dxa"/>
              <w:left w:w="15" w:type="dxa"/>
              <w:bottom w:w="15" w:type="dxa"/>
              <w:right w:w="15" w:type="dxa"/>
            </w:tcMar>
            <w:vAlign w:val="center"/>
          </w:tcPr>
          <w:p w14:paraId="2879F1EF">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r>
      <w:tr w14:paraId="4EC49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9" w:type="dxa"/>
            <w:vMerge w:val="continue"/>
            <w:vAlign w:val="center"/>
          </w:tcPr>
          <w:p w14:paraId="52343802">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488" w:type="dxa"/>
            <w:tcMar>
              <w:top w:w="15" w:type="dxa"/>
              <w:left w:w="15" w:type="dxa"/>
              <w:bottom w:w="15" w:type="dxa"/>
              <w:right w:w="15" w:type="dxa"/>
            </w:tcMar>
            <w:vAlign w:val="center"/>
          </w:tcPr>
          <w:p w14:paraId="38558EAD">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6</w:t>
            </w:r>
          </w:p>
        </w:tc>
        <w:tc>
          <w:tcPr>
            <w:tcW w:w="962" w:type="dxa"/>
            <w:tcMar>
              <w:top w:w="15" w:type="dxa"/>
              <w:left w:w="15" w:type="dxa"/>
              <w:bottom w:w="15" w:type="dxa"/>
              <w:right w:w="15" w:type="dxa"/>
            </w:tcMar>
            <w:vAlign w:val="center"/>
          </w:tcPr>
          <w:p w14:paraId="454F568B">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设</w:t>
            </w:r>
            <w:r>
              <w:rPr>
                <w:rFonts w:hint="eastAsia" w:ascii="宋体" w:hAnsi="宋体" w:cs="宋体" w:eastAsiaTheme="minorHAnsi"/>
                <w:color w:val="000000" w:themeColor="text1"/>
                <w:sz w:val="22"/>
                <w:szCs w:val="21"/>
                <w:highlight w:val="none"/>
                <w14:textFill>
                  <w14:solidFill>
                    <w14:schemeClr w14:val="tx1"/>
                  </w14:solidFill>
                </w14:textFill>
              </w:rPr>
              <w:t>备维护、保养情况</w:t>
            </w:r>
          </w:p>
        </w:tc>
        <w:tc>
          <w:tcPr>
            <w:tcW w:w="450" w:type="dxa"/>
            <w:tcMar>
              <w:top w:w="15" w:type="dxa"/>
              <w:left w:w="15" w:type="dxa"/>
              <w:bottom w:w="15" w:type="dxa"/>
              <w:right w:w="15" w:type="dxa"/>
            </w:tcMar>
            <w:vAlign w:val="center"/>
          </w:tcPr>
          <w:p w14:paraId="0FB7E838">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10</w:t>
            </w:r>
          </w:p>
        </w:tc>
        <w:tc>
          <w:tcPr>
            <w:tcW w:w="5867" w:type="dxa"/>
            <w:tcMar>
              <w:top w:w="15" w:type="dxa"/>
              <w:left w:w="15" w:type="dxa"/>
              <w:bottom w:w="15" w:type="dxa"/>
              <w:right w:w="15" w:type="dxa"/>
            </w:tcMar>
            <w:vAlign w:val="center"/>
          </w:tcPr>
          <w:p w14:paraId="1D545808">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设</w:t>
            </w:r>
            <w:r>
              <w:rPr>
                <w:rFonts w:hint="eastAsia" w:ascii="宋体" w:hAnsi="宋体" w:cs="宋体" w:eastAsiaTheme="minorHAnsi"/>
                <w:color w:val="000000" w:themeColor="text1"/>
                <w:sz w:val="22"/>
                <w:szCs w:val="21"/>
                <w:highlight w:val="none"/>
                <w14:textFill>
                  <w14:solidFill>
                    <w14:schemeClr w14:val="tx1"/>
                  </w14:solidFill>
                </w14:textFill>
              </w:rPr>
              <w:t>备维护、保养频次应符合规范要求，检查时不符合要求的或者被投诉且查实的，一次扣1分</w:t>
            </w:r>
          </w:p>
        </w:tc>
        <w:tc>
          <w:tcPr>
            <w:tcW w:w="567" w:type="dxa"/>
            <w:tcMar>
              <w:top w:w="15" w:type="dxa"/>
              <w:left w:w="15" w:type="dxa"/>
              <w:bottom w:w="15" w:type="dxa"/>
              <w:right w:w="15" w:type="dxa"/>
            </w:tcMar>
            <w:vAlign w:val="center"/>
          </w:tcPr>
          <w:p w14:paraId="47C1DA69">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567" w:type="dxa"/>
            <w:tcMar>
              <w:top w:w="15" w:type="dxa"/>
              <w:left w:w="15" w:type="dxa"/>
              <w:bottom w:w="15" w:type="dxa"/>
              <w:right w:w="15" w:type="dxa"/>
            </w:tcMar>
            <w:vAlign w:val="center"/>
          </w:tcPr>
          <w:p w14:paraId="72E4CE20">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r>
      <w:tr w14:paraId="4BCD1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9" w:type="dxa"/>
            <w:vMerge w:val="continue"/>
            <w:vAlign w:val="center"/>
          </w:tcPr>
          <w:p w14:paraId="66AC88C4">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488" w:type="dxa"/>
            <w:tcMar>
              <w:top w:w="15" w:type="dxa"/>
              <w:left w:w="15" w:type="dxa"/>
              <w:bottom w:w="15" w:type="dxa"/>
              <w:right w:w="15" w:type="dxa"/>
            </w:tcMar>
            <w:vAlign w:val="center"/>
          </w:tcPr>
          <w:p w14:paraId="0407B427">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7</w:t>
            </w:r>
          </w:p>
        </w:tc>
        <w:tc>
          <w:tcPr>
            <w:tcW w:w="962" w:type="dxa"/>
            <w:tcMar>
              <w:top w:w="15" w:type="dxa"/>
              <w:left w:w="15" w:type="dxa"/>
              <w:bottom w:w="15" w:type="dxa"/>
              <w:right w:w="15" w:type="dxa"/>
            </w:tcMar>
            <w:vAlign w:val="center"/>
          </w:tcPr>
          <w:p w14:paraId="3696F3B1">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质</w:t>
            </w:r>
            <w:r>
              <w:rPr>
                <w:rFonts w:hint="eastAsia" w:ascii="宋体" w:hAnsi="宋体" w:cs="宋体" w:eastAsiaTheme="minorHAnsi"/>
                <w:color w:val="000000" w:themeColor="text1"/>
                <w:sz w:val="22"/>
                <w:szCs w:val="21"/>
                <w:highlight w:val="none"/>
                <w14:textFill>
                  <w14:solidFill>
                    <w14:schemeClr w14:val="tx1"/>
                  </w14:solidFill>
                </w14:textFill>
              </w:rPr>
              <w:t>控工作完成情况</w:t>
            </w:r>
          </w:p>
        </w:tc>
        <w:tc>
          <w:tcPr>
            <w:tcW w:w="450" w:type="dxa"/>
            <w:tcMar>
              <w:top w:w="15" w:type="dxa"/>
              <w:left w:w="15" w:type="dxa"/>
              <w:bottom w:w="15" w:type="dxa"/>
              <w:right w:w="15" w:type="dxa"/>
            </w:tcMar>
            <w:vAlign w:val="center"/>
          </w:tcPr>
          <w:p w14:paraId="580F97A1">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5</w:t>
            </w:r>
          </w:p>
        </w:tc>
        <w:tc>
          <w:tcPr>
            <w:tcW w:w="5867" w:type="dxa"/>
            <w:tcMar>
              <w:top w:w="15" w:type="dxa"/>
              <w:left w:w="15" w:type="dxa"/>
              <w:bottom w:w="15" w:type="dxa"/>
              <w:right w:w="15" w:type="dxa"/>
            </w:tcMar>
            <w:vAlign w:val="center"/>
          </w:tcPr>
          <w:p w14:paraId="6938DC85">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每</w:t>
            </w:r>
            <w:r>
              <w:rPr>
                <w:rFonts w:hint="eastAsia" w:ascii="宋体" w:hAnsi="宋体" w:cs="宋体" w:eastAsiaTheme="minorHAnsi"/>
                <w:color w:val="000000" w:themeColor="text1"/>
                <w:sz w:val="22"/>
                <w:szCs w:val="21"/>
                <w:highlight w:val="none"/>
                <w14:textFill>
                  <w14:solidFill>
                    <w14:schemeClr w14:val="tx1"/>
                  </w14:solidFill>
                </w14:textFill>
              </w:rPr>
              <w:t>个水质自动监测站必须按要求实施质控工作，并做好质控记录，未按时实施质控工作或做好相关记录，每次扣0.5分</w:t>
            </w:r>
          </w:p>
        </w:tc>
        <w:tc>
          <w:tcPr>
            <w:tcW w:w="567" w:type="dxa"/>
            <w:tcMar>
              <w:top w:w="15" w:type="dxa"/>
              <w:left w:w="15" w:type="dxa"/>
              <w:bottom w:w="15" w:type="dxa"/>
              <w:right w:w="15" w:type="dxa"/>
            </w:tcMar>
            <w:vAlign w:val="center"/>
          </w:tcPr>
          <w:p w14:paraId="4570BCC6">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567" w:type="dxa"/>
            <w:tcMar>
              <w:top w:w="15" w:type="dxa"/>
              <w:left w:w="15" w:type="dxa"/>
              <w:bottom w:w="15" w:type="dxa"/>
              <w:right w:w="15" w:type="dxa"/>
            </w:tcMar>
            <w:vAlign w:val="center"/>
          </w:tcPr>
          <w:p w14:paraId="1106C555">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r>
      <w:tr w14:paraId="0550F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9" w:type="dxa"/>
            <w:vMerge w:val="continue"/>
            <w:vAlign w:val="center"/>
          </w:tcPr>
          <w:p w14:paraId="166007B4">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488" w:type="dxa"/>
            <w:tcMar>
              <w:top w:w="15" w:type="dxa"/>
              <w:left w:w="15" w:type="dxa"/>
              <w:bottom w:w="15" w:type="dxa"/>
              <w:right w:w="15" w:type="dxa"/>
            </w:tcMar>
            <w:vAlign w:val="center"/>
          </w:tcPr>
          <w:p w14:paraId="7D143AC9">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8</w:t>
            </w:r>
          </w:p>
        </w:tc>
        <w:tc>
          <w:tcPr>
            <w:tcW w:w="962" w:type="dxa"/>
            <w:tcMar>
              <w:top w:w="15" w:type="dxa"/>
              <w:left w:w="15" w:type="dxa"/>
              <w:bottom w:w="15" w:type="dxa"/>
              <w:right w:w="15" w:type="dxa"/>
            </w:tcMar>
            <w:vAlign w:val="center"/>
          </w:tcPr>
          <w:p w14:paraId="0C202C48">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操</w:t>
            </w:r>
            <w:r>
              <w:rPr>
                <w:rFonts w:hint="eastAsia" w:ascii="宋体" w:hAnsi="宋体" w:cs="宋体" w:eastAsiaTheme="minorHAnsi"/>
                <w:color w:val="000000" w:themeColor="text1"/>
                <w:sz w:val="22"/>
                <w:szCs w:val="21"/>
                <w:highlight w:val="none"/>
                <w14:textFill>
                  <w14:solidFill>
                    <w14:schemeClr w14:val="tx1"/>
                  </w14:solidFill>
                </w14:textFill>
              </w:rPr>
              <w:t>作人员熟练程度</w:t>
            </w:r>
          </w:p>
        </w:tc>
        <w:tc>
          <w:tcPr>
            <w:tcW w:w="450" w:type="dxa"/>
            <w:tcMar>
              <w:top w:w="15" w:type="dxa"/>
              <w:left w:w="15" w:type="dxa"/>
              <w:bottom w:w="15" w:type="dxa"/>
              <w:right w:w="15" w:type="dxa"/>
            </w:tcMar>
            <w:vAlign w:val="center"/>
          </w:tcPr>
          <w:p w14:paraId="494F71FD">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5</w:t>
            </w:r>
          </w:p>
        </w:tc>
        <w:tc>
          <w:tcPr>
            <w:tcW w:w="5867" w:type="dxa"/>
            <w:tcMar>
              <w:top w:w="15" w:type="dxa"/>
              <w:left w:w="15" w:type="dxa"/>
              <w:bottom w:w="15" w:type="dxa"/>
              <w:right w:w="15" w:type="dxa"/>
            </w:tcMar>
            <w:vAlign w:val="center"/>
          </w:tcPr>
          <w:p w14:paraId="07D4DAB8">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根</w:t>
            </w:r>
            <w:r>
              <w:rPr>
                <w:rFonts w:hint="eastAsia" w:ascii="宋体" w:hAnsi="宋体" w:cs="宋体" w:eastAsiaTheme="minorHAnsi"/>
                <w:color w:val="000000" w:themeColor="text1"/>
                <w:sz w:val="22"/>
                <w:szCs w:val="21"/>
                <w:highlight w:val="none"/>
                <w14:textFill>
                  <w14:solidFill>
                    <w14:schemeClr w14:val="tx1"/>
                  </w14:solidFill>
                </w14:textFill>
              </w:rPr>
              <w:t>据现场操作人员的回答准确性、操作规范性、现场处理问题能力等进行判断，视情况酌情扣分。</w:t>
            </w:r>
          </w:p>
        </w:tc>
        <w:tc>
          <w:tcPr>
            <w:tcW w:w="567" w:type="dxa"/>
            <w:tcMar>
              <w:top w:w="15" w:type="dxa"/>
              <w:left w:w="15" w:type="dxa"/>
              <w:bottom w:w="15" w:type="dxa"/>
              <w:right w:w="15" w:type="dxa"/>
            </w:tcMar>
            <w:vAlign w:val="center"/>
          </w:tcPr>
          <w:p w14:paraId="0BD7763A">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567" w:type="dxa"/>
            <w:tcMar>
              <w:top w:w="15" w:type="dxa"/>
              <w:left w:w="15" w:type="dxa"/>
              <w:bottom w:w="15" w:type="dxa"/>
              <w:right w:w="15" w:type="dxa"/>
            </w:tcMar>
            <w:vAlign w:val="center"/>
          </w:tcPr>
          <w:p w14:paraId="63DF3715">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r>
      <w:tr w14:paraId="044BB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9" w:type="dxa"/>
            <w:vMerge w:val="continue"/>
            <w:vAlign w:val="center"/>
          </w:tcPr>
          <w:p w14:paraId="0E9FDF87">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488" w:type="dxa"/>
            <w:tcMar>
              <w:top w:w="15" w:type="dxa"/>
              <w:left w:w="15" w:type="dxa"/>
              <w:bottom w:w="15" w:type="dxa"/>
              <w:right w:w="15" w:type="dxa"/>
            </w:tcMar>
            <w:vAlign w:val="center"/>
          </w:tcPr>
          <w:p w14:paraId="264EF950">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9</w:t>
            </w:r>
          </w:p>
        </w:tc>
        <w:tc>
          <w:tcPr>
            <w:tcW w:w="962" w:type="dxa"/>
            <w:tcMar>
              <w:top w:w="15" w:type="dxa"/>
              <w:left w:w="15" w:type="dxa"/>
              <w:bottom w:w="15" w:type="dxa"/>
              <w:right w:w="15" w:type="dxa"/>
            </w:tcMar>
            <w:vAlign w:val="center"/>
          </w:tcPr>
          <w:p w14:paraId="3EBF3F8A">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各</w:t>
            </w:r>
            <w:r>
              <w:rPr>
                <w:rFonts w:hint="eastAsia" w:ascii="宋体" w:hAnsi="宋体" w:cs="宋体" w:eastAsiaTheme="minorHAnsi"/>
                <w:color w:val="000000" w:themeColor="text1"/>
                <w:sz w:val="22"/>
                <w:szCs w:val="21"/>
                <w:highlight w:val="none"/>
                <w14:textFill>
                  <w14:solidFill>
                    <w14:schemeClr w14:val="tx1"/>
                  </w14:solidFill>
                </w14:textFill>
              </w:rPr>
              <w:t>级部门检查通报情况</w:t>
            </w:r>
          </w:p>
        </w:tc>
        <w:tc>
          <w:tcPr>
            <w:tcW w:w="450" w:type="dxa"/>
            <w:tcMar>
              <w:top w:w="15" w:type="dxa"/>
              <w:left w:w="15" w:type="dxa"/>
              <w:bottom w:w="15" w:type="dxa"/>
              <w:right w:w="15" w:type="dxa"/>
            </w:tcMar>
            <w:vAlign w:val="center"/>
          </w:tcPr>
          <w:p w14:paraId="49F563EE">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10</w:t>
            </w:r>
          </w:p>
        </w:tc>
        <w:tc>
          <w:tcPr>
            <w:tcW w:w="5867" w:type="dxa"/>
            <w:tcMar>
              <w:top w:w="15" w:type="dxa"/>
              <w:left w:w="15" w:type="dxa"/>
              <w:bottom w:w="15" w:type="dxa"/>
              <w:right w:w="15" w:type="dxa"/>
            </w:tcMar>
            <w:vAlign w:val="center"/>
          </w:tcPr>
          <w:p w14:paraId="66077049">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各</w:t>
            </w:r>
            <w:r>
              <w:rPr>
                <w:rFonts w:hint="eastAsia" w:ascii="宋体" w:hAnsi="宋体" w:cs="宋体" w:eastAsiaTheme="minorHAnsi"/>
                <w:color w:val="000000" w:themeColor="text1"/>
                <w:sz w:val="22"/>
                <w:szCs w:val="21"/>
                <w:highlight w:val="none"/>
                <w14:textFill>
                  <w14:solidFill>
                    <w14:schemeClr w14:val="tx1"/>
                  </w14:solidFill>
                </w14:textFill>
              </w:rPr>
              <w:t>类检查、考核、审计发现重大问题的一次扣5分，被通报批评的扣10分</w:t>
            </w:r>
          </w:p>
        </w:tc>
        <w:tc>
          <w:tcPr>
            <w:tcW w:w="567" w:type="dxa"/>
            <w:tcMar>
              <w:top w:w="15" w:type="dxa"/>
              <w:left w:w="15" w:type="dxa"/>
              <w:bottom w:w="15" w:type="dxa"/>
              <w:right w:w="15" w:type="dxa"/>
            </w:tcMar>
            <w:vAlign w:val="center"/>
          </w:tcPr>
          <w:p w14:paraId="466B7DA8">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567" w:type="dxa"/>
            <w:tcMar>
              <w:top w:w="15" w:type="dxa"/>
              <w:left w:w="15" w:type="dxa"/>
              <w:bottom w:w="15" w:type="dxa"/>
              <w:right w:w="15" w:type="dxa"/>
            </w:tcMar>
            <w:vAlign w:val="center"/>
          </w:tcPr>
          <w:p w14:paraId="24C06768">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r>
      <w:tr w14:paraId="6E9D6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9" w:type="dxa"/>
            <w:vMerge w:val="continue"/>
            <w:vAlign w:val="center"/>
          </w:tcPr>
          <w:p w14:paraId="68D04851">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488" w:type="dxa"/>
            <w:tcMar>
              <w:top w:w="15" w:type="dxa"/>
              <w:left w:w="15" w:type="dxa"/>
              <w:bottom w:w="15" w:type="dxa"/>
              <w:right w:w="15" w:type="dxa"/>
            </w:tcMar>
            <w:vAlign w:val="center"/>
          </w:tcPr>
          <w:p w14:paraId="19733C0C">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0</w:t>
            </w:r>
          </w:p>
        </w:tc>
        <w:tc>
          <w:tcPr>
            <w:tcW w:w="962" w:type="dxa"/>
            <w:tcMar>
              <w:top w:w="15" w:type="dxa"/>
              <w:left w:w="15" w:type="dxa"/>
              <w:bottom w:w="15" w:type="dxa"/>
              <w:right w:w="15" w:type="dxa"/>
            </w:tcMar>
            <w:vAlign w:val="center"/>
          </w:tcPr>
          <w:p w14:paraId="74D34C0F">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驻</w:t>
            </w:r>
            <w:r>
              <w:rPr>
                <w:rFonts w:hint="eastAsia" w:ascii="宋体" w:hAnsi="宋体" w:cs="宋体" w:eastAsiaTheme="minorHAnsi"/>
                <w:color w:val="000000" w:themeColor="text1"/>
                <w:sz w:val="22"/>
                <w:szCs w:val="21"/>
                <w:highlight w:val="none"/>
                <w14:textFill>
                  <w14:solidFill>
                    <w14:schemeClr w14:val="tx1"/>
                  </w14:solidFill>
                </w14:textFill>
              </w:rPr>
              <w:t>点运维人员考勤</w:t>
            </w:r>
          </w:p>
        </w:tc>
        <w:tc>
          <w:tcPr>
            <w:tcW w:w="450" w:type="dxa"/>
            <w:tcMar>
              <w:top w:w="15" w:type="dxa"/>
              <w:left w:w="15" w:type="dxa"/>
              <w:bottom w:w="15" w:type="dxa"/>
              <w:right w:w="15" w:type="dxa"/>
            </w:tcMar>
            <w:vAlign w:val="center"/>
          </w:tcPr>
          <w:p w14:paraId="6919C206">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3</w:t>
            </w:r>
          </w:p>
        </w:tc>
        <w:tc>
          <w:tcPr>
            <w:tcW w:w="5867" w:type="dxa"/>
            <w:tcMar>
              <w:top w:w="15" w:type="dxa"/>
              <w:left w:w="15" w:type="dxa"/>
              <w:bottom w:w="15" w:type="dxa"/>
              <w:right w:w="15" w:type="dxa"/>
            </w:tcMar>
            <w:vAlign w:val="center"/>
          </w:tcPr>
          <w:p w14:paraId="1C3553A6">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在</w:t>
            </w:r>
            <w:r>
              <w:rPr>
                <w:rFonts w:hint="eastAsia" w:ascii="宋体" w:hAnsi="宋体" w:cs="宋体" w:eastAsiaTheme="minorHAnsi"/>
                <w:color w:val="000000" w:themeColor="text1"/>
                <w:sz w:val="22"/>
                <w:szCs w:val="21"/>
                <w:highlight w:val="none"/>
                <w14:textFill>
                  <w14:solidFill>
                    <w14:schemeClr w14:val="tx1"/>
                  </w14:solidFill>
                </w14:textFill>
              </w:rPr>
              <w:t>一个考核周期内驻点人员缺勤、迟到、早退次数超过3人次的扣1分</w:t>
            </w:r>
          </w:p>
        </w:tc>
        <w:tc>
          <w:tcPr>
            <w:tcW w:w="567" w:type="dxa"/>
            <w:tcMar>
              <w:top w:w="15" w:type="dxa"/>
              <w:left w:w="15" w:type="dxa"/>
              <w:bottom w:w="15" w:type="dxa"/>
              <w:right w:w="15" w:type="dxa"/>
            </w:tcMar>
            <w:vAlign w:val="center"/>
          </w:tcPr>
          <w:p w14:paraId="44D6B742">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567" w:type="dxa"/>
            <w:tcMar>
              <w:top w:w="15" w:type="dxa"/>
              <w:left w:w="15" w:type="dxa"/>
              <w:bottom w:w="15" w:type="dxa"/>
              <w:right w:w="15" w:type="dxa"/>
            </w:tcMar>
            <w:vAlign w:val="center"/>
          </w:tcPr>
          <w:p w14:paraId="7C414267">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r>
      <w:tr w14:paraId="36CD1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9" w:type="dxa"/>
            <w:vMerge w:val="restart"/>
            <w:tcMar>
              <w:top w:w="15" w:type="dxa"/>
              <w:left w:w="15" w:type="dxa"/>
              <w:bottom w:w="15" w:type="dxa"/>
              <w:right w:w="15" w:type="dxa"/>
            </w:tcMar>
            <w:vAlign w:val="center"/>
          </w:tcPr>
          <w:p w14:paraId="28206821">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三</w:t>
            </w:r>
            <w:r>
              <w:rPr>
                <w:rFonts w:hint="eastAsia" w:ascii="宋体" w:hAnsi="宋体" w:cs="宋体" w:eastAsiaTheme="minorHAnsi"/>
                <w:color w:val="000000" w:themeColor="text1"/>
                <w:sz w:val="22"/>
                <w:szCs w:val="21"/>
                <w:highlight w:val="none"/>
                <w14:textFill>
                  <w14:solidFill>
                    <w14:schemeClr w14:val="tx1"/>
                  </w14:solidFill>
                </w14:textFill>
              </w:rPr>
              <w:t>、运维成效（25分）</w:t>
            </w:r>
          </w:p>
        </w:tc>
        <w:tc>
          <w:tcPr>
            <w:tcW w:w="488" w:type="dxa"/>
            <w:tcMar>
              <w:top w:w="15" w:type="dxa"/>
              <w:left w:w="15" w:type="dxa"/>
              <w:bottom w:w="15" w:type="dxa"/>
              <w:right w:w="15" w:type="dxa"/>
            </w:tcMar>
            <w:vAlign w:val="center"/>
          </w:tcPr>
          <w:p w14:paraId="7E477973">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11</w:t>
            </w:r>
          </w:p>
        </w:tc>
        <w:tc>
          <w:tcPr>
            <w:tcW w:w="962" w:type="dxa"/>
            <w:tcMar>
              <w:top w:w="15" w:type="dxa"/>
              <w:left w:w="15" w:type="dxa"/>
              <w:bottom w:w="15" w:type="dxa"/>
              <w:right w:w="15" w:type="dxa"/>
            </w:tcMar>
            <w:vAlign w:val="center"/>
          </w:tcPr>
          <w:p w14:paraId="170B2B37">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故</w:t>
            </w:r>
            <w:r>
              <w:rPr>
                <w:rFonts w:hint="eastAsia" w:ascii="宋体" w:hAnsi="宋体" w:cs="宋体" w:eastAsiaTheme="minorHAnsi"/>
                <w:color w:val="000000" w:themeColor="text1"/>
                <w:sz w:val="22"/>
                <w:szCs w:val="21"/>
                <w:highlight w:val="none"/>
                <w14:textFill>
                  <w14:solidFill>
                    <w14:schemeClr w14:val="tx1"/>
                  </w14:solidFill>
                </w14:textFill>
              </w:rPr>
              <w:t>障响应与修复情况</w:t>
            </w:r>
          </w:p>
        </w:tc>
        <w:tc>
          <w:tcPr>
            <w:tcW w:w="450" w:type="dxa"/>
            <w:tcMar>
              <w:top w:w="15" w:type="dxa"/>
              <w:left w:w="15" w:type="dxa"/>
              <w:bottom w:w="15" w:type="dxa"/>
              <w:right w:w="15" w:type="dxa"/>
            </w:tcMar>
            <w:vAlign w:val="center"/>
          </w:tcPr>
          <w:p w14:paraId="228588F7">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10</w:t>
            </w:r>
          </w:p>
        </w:tc>
        <w:tc>
          <w:tcPr>
            <w:tcW w:w="5867" w:type="dxa"/>
            <w:tcMar>
              <w:top w:w="15" w:type="dxa"/>
              <w:left w:w="15" w:type="dxa"/>
              <w:bottom w:w="15" w:type="dxa"/>
              <w:right w:w="15" w:type="dxa"/>
            </w:tcMar>
            <w:vAlign w:val="center"/>
          </w:tcPr>
          <w:p w14:paraId="77E4371B">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需</w:t>
            </w:r>
            <w:r>
              <w:rPr>
                <w:rFonts w:hint="eastAsia" w:ascii="宋体" w:hAnsi="宋体" w:cs="宋体" w:eastAsiaTheme="minorHAnsi"/>
                <w:color w:val="000000" w:themeColor="text1"/>
                <w:sz w:val="22"/>
                <w:szCs w:val="21"/>
                <w:highlight w:val="none"/>
                <w14:textFill>
                  <w14:solidFill>
                    <w14:schemeClr w14:val="tx1"/>
                  </w14:solidFill>
                </w14:textFill>
              </w:rPr>
              <w:t>符合招标要求，结合监控中心平台统计，每一起超时未响应扣1分，每一起超时未修复故障的扣0.5分，在一个考核周期内10分扣完为止</w:t>
            </w:r>
          </w:p>
        </w:tc>
        <w:tc>
          <w:tcPr>
            <w:tcW w:w="567" w:type="dxa"/>
            <w:tcMar>
              <w:top w:w="15" w:type="dxa"/>
              <w:left w:w="15" w:type="dxa"/>
              <w:bottom w:w="15" w:type="dxa"/>
              <w:right w:w="15" w:type="dxa"/>
            </w:tcMar>
            <w:vAlign w:val="center"/>
          </w:tcPr>
          <w:p w14:paraId="0922FCAD">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567" w:type="dxa"/>
            <w:tcMar>
              <w:top w:w="15" w:type="dxa"/>
              <w:left w:w="15" w:type="dxa"/>
              <w:bottom w:w="15" w:type="dxa"/>
              <w:right w:w="15" w:type="dxa"/>
            </w:tcMar>
            <w:vAlign w:val="center"/>
          </w:tcPr>
          <w:p w14:paraId="1E4421B0">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r>
      <w:tr w14:paraId="2BB1C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9" w:type="dxa"/>
            <w:vMerge w:val="continue"/>
            <w:vAlign w:val="center"/>
          </w:tcPr>
          <w:p w14:paraId="73F2E491">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488" w:type="dxa"/>
            <w:tcMar>
              <w:top w:w="15" w:type="dxa"/>
              <w:left w:w="15" w:type="dxa"/>
              <w:bottom w:w="15" w:type="dxa"/>
              <w:right w:w="15" w:type="dxa"/>
            </w:tcMar>
            <w:vAlign w:val="center"/>
          </w:tcPr>
          <w:p w14:paraId="4837746E">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12</w:t>
            </w:r>
          </w:p>
        </w:tc>
        <w:tc>
          <w:tcPr>
            <w:tcW w:w="962" w:type="dxa"/>
            <w:tcMar>
              <w:top w:w="15" w:type="dxa"/>
              <w:left w:w="15" w:type="dxa"/>
              <w:bottom w:w="15" w:type="dxa"/>
              <w:right w:w="15" w:type="dxa"/>
            </w:tcMar>
            <w:vAlign w:val="center"/>
          </w:tcPr>
          <w:p w14:paraId="127A6D37">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监</w:t>
            </w:r>
            <w:r>
              <w:rPr>
                <w:rFonts w:hint="eastAsia" w:ascii="宋体" w:hAnsi="宋体" w:cs="宋体" w:eastAsiaTheme="minorHAnsi"/>
                <w:color w:val="000000" w:themeColor="text1"/>
                <w:sz w:val="22"/>
                <w:szCs w:val="21"/>
                <w:highlight w:val="none"/>
                <w14:textFill>
                  <w14:solidFill>
                    <w14:schemeClr w14:val="tx1"/>
                  </w14:solidFill>
                </w14:textFill>
              </w:rPr>
              <w:t>测数据捕获率</w:t>
            </w:r>
          </w:p>
        </w:tc>
        <w:tc>
          <w:tcPr>
            <w:tcW w:w="450" w:type="dxa"/>
            <w:tcMar>
              <w:top w:w="15" w:type="dxa"/>
              <w:left w:w="15" w:type="dxa"/>
              <w:bottom w:w="15" w:type="dxa"/>
              <w:right w:w="15" w:type="dxa"/>
            </w:tcMar>
            <w:vAlign w:val="center"/>
          </w:tcPr>
          <w:p w14:paraId="7DBC94DE">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5</w:t>
            </w:r>
          </w:p>
        </w:tc>
        <w:tc>
          <w:tcPr>
            <w:tcW w:w="5867" w:type="dxa"/>
            <w:tcMar>
              <w:top w:w="15" w:type="dxa"/>
              <w:left w:w="15" w:type="dxa"/>
              <w:bottom w:w="15" w:type="dxa"/>
              <w:right w:w="15" w:type="dxa"/>
            </w:tcMar>
            <w:vAlign w:val="center"/>
          </w:tcPr>
          <w:p w14:paraId="46A80A33">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在</w:t>
            </w:r>
            <w:r>
              <w:rPr>
                <w:rFonts w:hint="eastAsia" w:ascii="宋体" w:hAnsi="宋体" w:cs="宋体" w:eastAsiaTheme="minorHAnsi"/>
                <w:color w:val="000000" w:themeColor="text1"/>
                <w:sz w:val="22"/>
                <w:szCs w:val="21"/>
                <w:highlight w:val="none"/>
                <w14:textFill>
                  <w14:solidFill>
                    <w14:schemeClr w14:val="tx1"/>
                  </w14:solidFill>
                </w14:textFill>
              </w:rPr>
              <w:t>中心监控平台上统计整个考核周期的监测数据捕获率，监测数据传捕获率70%~80%，扣2分，传输有效率60%~70%，扣4分，低于60%，扣5分</w:t>
            </w:r>
          </w:p>
        </w:tc>
        <w:tc>
          <w:tcPr>
            <w:tcW w:w="567" w:type="dxa"/>
            <w:tcMar>
              <w:top w:w="15" w:type="dxa"/>
              <w:left w:w="15" w:type="dxa"/>
              <w:bottom w:w="15" w:type="dxa"/>
              <w:right w:w="15" w:type="dxa"/>
            </w:tcMar>
            <w:vAlign w:val="center"/>
          </w:tcPr>
          <w:p w14:paraId="379C229D">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567" w:type="dxa"/>
            <w:tcMar>
              <w:top w:w="15" w:type="dxa"/>
              <w:left w:w="15" w:type="dxa"/>
              <w:bottom w:w="15" w:type="dxa"/>
              <w:right w:w="15" w:type="dxa"/>
            </w:tcMar>
            <w:vAlign w:val="center"/>
          </w:tcPr>
          <w:p w14:paraId="7BE8C3F0">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r>
      <w:tr w14:paraId="2B49E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9" w:type="dxa"/>
            <w:vMerge w:val="continue"/>
            <w:vAlign w:val="center"/>
          </w:tcPr>
          <w:p w14:paraId="5DEEB398">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488" w:type="dxa"/>
            <w:tcMar>
              <w:top w:w="15" w:type="dxa"/>
              <w:left w:w="15" w:type="dxa"/>
              <w:bottom w:w="15" w:type="dxa"/>
              <w:right w:w="15" w:type="dxa"/>
            </w:tcMar>
            <w:vAlign w:val="center"/>
          </w:tcPr>
          <w:p w14:paraId="296CAA62">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13</w:t>
            </w:r>
          </w:p>
        </w:tc>
        <w:tc>
          <w:tcPr>
            <w:tcW w:w="962" w:type="dxa"/>
            <w:tcMar>
              <w:top w:w="15" w:type="dxa"/>
              <w:left w:w="15" w:type="dxa"/>
              <w:bottom w:w="15" w:type="dxa"/>
              <w:right w:w="15" w:type="dxa"/>
            </w:tcMar>
            <w:vAlign w:val="center"/>
          </w:tcPr>
          <w:p w14:paraId="48D1351D">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监</w:t>
            </w:r>
            <w:r>
              <w:rPr>
                <w:rFonts w:hint="eastAsia" w:ascii="宋体" w:hAnsi="宋体" w:cs="宋体" w:eastAsiaTheme="minorHAnsi"/>
                <w:color w:val="000000" w:themeColor="text1"/>
                <w:sz w:val="22"/>
                <w:szCs w:val="21"/>
                <w:highlight w:val="none"/>
                <w14:textFill>
                  <w14:solidFill>
                    <w14:schemeClr w14:val="tx1"/>
                  </w14:solidFill>
                </w14:textFill>
              </w:rPr>
              <w:t>测数据有效率</w:t>
            </w:r>
          </w:p>
        </w:tc>
        <w:tc>
          <w:tcPr>
            <w:tcW w:w="450" w:type="dxa"/>
            <w:tcMar>
              <w:top w:w="15" w:type="dxa"/>
              <w:left w:w="15" w:type="dxa"/>
              <w:bottom w:w="15" w:type="dxa"/>
              <w:right w:w="15" w:type="dxa"/>
            </w:tcMar>
            <w:vAlign w:val="center"/>
          </w:tcPr>
          <w:p w14:paraId="1CEF6644">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5</w:t>
            </w:r>
          </w:p>
        </w:tc>
        <w:tc>
          <w:tcPr>
            <w:tcW w:w="5867" w:type="dxa"/>
            <w:tcMar>
              <w:top w:w="15" w:type="dxa"/>
              <w:left w:w="15" w:type="dxa"/>
              <w:bottom w:w="15" w:type="dxa"/>
              <w:right w:w="15" w:type="dxa"/>
            </w:tcMar>
            <w:vAlign w:val="center"/>
          </w:tcPr>
          <w:p w14:paraId="2732F22E">
            <w:pPr>
              <w:widowControl/>
              <w:adjustRightInd/>
              <w:spacing w:line="360" w:lineRule="auto"/>
              <w:ind w:firstLine="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在</w:t>
            </w:r>
            <w:r>
              <w:rPr>
                <w:rFonts w:hint="eastAsia" w:ascii="宋体" w:hAnsi="宋体" w:cs="宋体" w:eastAsiaTheme="minorHAnsi"/>
                <w:color w:val="000000" w:themeColor="text1"/>
                <w:sz w:val="22"/>
                <w:szCs w:val="21"/>
                <w:highlight w:val="none"/>
                <w14:textFill>
                  <w14:solidFill>
                    <w14:schemeClr w14:val="tx1"/>
                  </w14:solidFill>
                </w14:textFill>
              </w:rPr>
              <w:t>中心监控平台上统计整个考核周期的监测数据有效率，监测数据有效率70%~80%，扣2分，传输有效率60%~70%，扣4分，低于60%，扣5分</w:t>
            </w:r>
          </w:p>
        </w:tc>
        <w:tc>
          <w:tcPr>
            <w:tcW w:w="567" w:type="dxa"/>
            <w:tcMar>
              <w:top w:w="15" w:type="dxa"/>
              <w:left w:w="15" w:type="dxa"/>
              <w:bottom w:w="15" w:type="dxa"/>
              <w:right w:w="15" w:type="dxa"/>
            </w:tcMar>
            <w:vAlign w:val="center"/>
          </w:tcPr>
          <w:p w14:paraId="6881A061">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567" w:type="dxa"/>
            <w:tcMar>
              <w:top w:w="15" w:type="dxa"/>
              <w:left w:w="15" w:type="dxa"/>
              <w:bottom w:w="15" w:type="dxa"/>
              <w:right w:w="15" w:type="dxa"/>
            </w:tcMar>
            <w:vAlign w:val="center"/>
          </w:tcPr>
          <w:p w14:paraId="4FF2A8FE">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r>
      <w:tr w14:paraId="7AAA5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29" w:type="dxa"/>
            <w:vMerge w:val="continue"/>
            <w:vAlign w:val="center"/>
          </w:tcPr>
          <w:p w14:paraId="4D1C8841">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488" w:type="dxa"/>
            <w:tcMar>
              <w:top w:w="15" w:type="dxa"/>
              <w:left w:w="15" w:type="dxa"/>
              <w:bottom w:w="15" w:type="dxa"/>
              <w:right w:w="15" w:type="dxa"/>
            </w:tcMar>
            <w:vAlign w:val="center"/>
          </w:tcPr>
          <w:p w14:paraId="5AA3F197">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14</w:t>
            </w:r>
          </w:p>
        </w:tc>
        <w:tc>
          <w:tcPr>
            <w:tcW w:w="962" w:type="dxa"/>
            <w:tcMar>
              <w:top w:w="15" w:type="dxa"/>
              <w:left w:w="15" w:type="dxa"/>
              <w:bottom w:w="15" w:type="dxa"/>
              <w:right w:w="15" w:type="dxa"/>
            </w:tcMar>
            <w:vAlign w:val="center"/>
          </w:tcPr>
          <w:p w14:paraId="5E780EBC">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运</w:t>
            </w:r>
            <w:r>
              <w:rPr>
                <w:rFonts w:hint="eastAsia" w:ascii="宋体" w:hAnsi="宋体" w:cs="宋体" w:eastAsiaTheme="minorHAnsi"/>
                <w:color w:val="000000" w:themeColor="text1"/>
                <w:sz w:val="22"/>
                <w:szCs w:val="21"/>
                <w:highlight w:val="none"/>
                <w14:textFill>
                  <w14:solidFill>
                    <w14:schemeClr w14:val="tx1"/>
                  </w14:solidFill>
                </w14:textFill>
              </w:rPr>
              <w:t>维台账</w:t>
            </w:r>
          </w:p>
        </w:tc>
        <w:tc>
          <w:tcPr>
            <w:tcW w:w="450" w:type="dxa"/>
            <w:tcMar>
              <w:top w:w="15" w:type="dxa"/>
              <w:left w:w="15" w:type="dxa"/>
              <w:bottom w:w="15" w:type="dxa"/>
              <w:right w:w="15" w:type="dxa"/>
            </w:tcMar>
            <w:vAlign w:val="center"/>
          </w:tcPr>
          <w:p w14:paraId="3EDA3D2E">
            <w:pPr>
              <w:widowControl/>
              <w:adjustRightInd/>
              <w:spacing w:line="360" w:lineRule="auto"/>
              <w:ind w:firstLine="0" w:firstLineChars="0"/>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5</w:t>
            </w:r>
          </w:p>
        </w:tc>
        <w:tc>
          <w:tcPr>
            <w:tcW w:w="5867" w:type="dxa"/>
            <w:tcMar>
              <w:top w:w="15" w:type="dxa"/>
              <w:left w:w="15" w:type="dxa"/>
              <w:bottom w:w="15" w:type="dxa"/>
              <w:right w:w="15" w:type="dxa"/>
            </w:tcMar>
            <w:vAlign w:val="center"/>
          </w:tcPr>
          <w:p w14:paraId="5569E35A">
            <w:pPr>
              <w:widowControl/>
              <w:adjustRightInd/>
              <w:spacing w:line="360" w:lineRule="auto"/>
              <w:ind w:firstLine="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在</w:t>
            </w:r>
            <w:r>
              <w:rPr>
                <w:rFonts w:hint="eastAsia" w:ascii="宋体" w:hAnsi="宋体" w:cs="宋体" w:eastAsiaTheme="minorHAnsi"/>
                <w:color w:val="000000" w:themeColor="text1"/>
                <w:sz w:val="22"/>
                <w:szCs w:val="21"/>
                <w:highlight w:val="none"/>
                <w14:textFill>
                  <w14:solidFill>
                    <w14:schemeClr w14:val="tx1"/>
                  </w14:solidFill>
                </w14:textFill>
              </w:rPr>
              <w:t>一个考核周期内统计，检查备品备件出入库、现场巡检维护、现场处理故障等记录，运维记录不全的发现一次，扣1分</w:t>
            </w:r>
          </w:p>
        </w:tc>
        <w:tc>
          <w:tcPr>
            <w:tcW w:w="567" w:type="dxa"/>
            <w:tcMar>
              <w:top w:w="15" w:type="dxa"/>
              <w:left w:w="15" w:type="dxa"/>
              <w:bottom w:w="15" w:type="dxa"/>
              <w:right w:w="15" w:type="dxa"/>
            </w:tcMar>
            <w:vAlign w:val="center"/>
          </w:tcPr>
          <w:p w14:paraId="5A43E523">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567" w:type="dxa"/>
            <w:tcMar>
              <w:top w:w="15" w:type="dxa"/>
              <w:left w:w="15" w:type="dxa"/>
              <w:bottom w:w="15" w:type="dxa"/>
              <w:right w:w="15" w:type="dxa"/>
            </w:tcMar>
            <w:vAlign w:val="center"/>
          </w:tcPr>
          <w:p w14:paraId="79BA49B3">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r>
      <w:tr w14:paraId="77F78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79" w:type="dxa"/>
            <w:gridSpan w:val="3"/>
            <w:tcMar>
              <w:top w:w="15" w:type="dxa"/>
              <w:left w:w="15" w:type="dxa"/>
              <w:bottom w:w="15" w:type="dxa"/>
              <w:right w:w="15" w:type="dxa"/>
            </w:tcMar>
            <w:vAlign w:val="center"/>
          </w:tcPr>
          <w:p w14:paraId="74E4F725">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总</w:t>
            </w:r>
            <w:r>
              <w:rPr>
                <w:rFonts w:hint="eastAsia" w:ascii="宋体" w:hAnsi="宋体" w:cs="宋体" w:eastAsiaTheme="minorHAnsi"/>
                <w:color w:val="000000" w:themeColor="text1"/>
                <w:sz w:val="22"/>
                <w:szCs w:val="21"/>
                <w:highlight w:val="none"/>
                <w14:textFill>
                  <w14:solidFill>
                    <w14:schemeClr w14:val="tx1"/>
                  </w14:solidFill>
                </w14:textFill>
              </w:rPr>
              <w:t>分</w:t>
            </w:r>
          </w:p>
        </w:tc>
        <w:tc>
          <w:tcPr>
            <w:tcW w:w="450" w:type="dxa"/>
            <w:tcMar>
              <w:top w:w="15" w:type="dxa"/>
              <w:left w:w="15" w:type="dxa"/>
              <w:bottom w:w="15" w:type="dxa"/>
              <w:right w:w="15" w:type="dxa"/>
            </w:tcMar>
            <w:vAlign w:val="center"/>
          </w:tcPr>
          <w:p w14:paraId="0EEA3BDB">
            <w:pPr>
              <w:widowControl/>
              <w:adjustRightInd/>
              <w:spacing w:line="360" w:lineRule="auto"/>
              <w:ind w:firstLine="0" w:firstLineChars="0"/>
              <w:jc w:val="left"/>
              <w:rPr>
                <w:rFonts w:ascii="宋体" w:hAnsi="宋体" w:cs="宋体" w:eastAsiaTheme="minorHAnsi"/>
                <w:color w:val="000000" w:themeColor="text1"/>
                <w:sz w:val="22"/>
                <w:szCs w:val="21"/>
                <w:highlight w:val="none"/>
                <w14:textFill>
                  <w14:solidFill>
                    <w14:schemeClr w14:val="tx1"/>
                  </w14:solidFill>
                </w14:textFill>
              </w:rPr>
            </w:pPr>
            <w:r>
              <w:rPr>
                <w:rFonts w:hint="eastAsia" w:ascii="宋体" w:hAnsi="宋体" w:cs="宋体" w:eastAsiaTheme="minorHAnsi"/>
                <w:color w:val="000000" w:themeColor="text1"/>
                <w:sz w:val="22"/>
                <w:szCs w:val="21"/>
                <w:highlight w:val="none"/>
                <w14:textFill>
                  <w14:solidFill>
                    <w14:schemeClr w14:val="tx1"/>
                  </w14:solidFill>
                </w14:textFill>
              </w:rPr>
              <w:t>100</w:t>
            </w:r>
          </w:p>
        </w:tc>
        <w:tc>
          <w:tcPr>
            <w:tcW w:w="5867" w:type="dxa"/>
            <w:tcMar>
              <w:top w:w="15" w:type="dxa"/>
              <w:left w:w="15" w:type="dxa"/>
              <w:bottom w:w="15" w:type="dxa"/>
              <w:right w:w="15" w:type="dxa"/>
            </w:tcMar>
            <w:vAlign w:val="center"/>
          </w:tcPr>
          <w:p w14:paraId="4B070C50">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567" w:type="dxa"/>
            <w:tcMar>
              <w:top w:w="15" w:type="dxa"/>
              <w:left w:w="15" w:type="dxa"/>
              <w:bottom w:w="15" w:type="dxa"/>
              <w:right w:w="15" w:type="dxa"/>
            </w:tcMar>
            <w:vAlign w:val="center"/>
          </w:tcPr>
          <w:p w14:paraId="6870250A">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c>
          <w:tcPr>
            <w:tcW w:w="567" w:type="dxa"/>
            <w:tcMar>
              <w:top w:w="15" w:type="dxa"/>
              <w:left w:w="15" w:type="dxa"/>
              <w:bottom w:w="15" w:type="dxa"/>
              <w:right w:w="15" w:type="dxa"/>
            </w:tcMar>
            <w:vAlign w:val="center"/>
          </w:tcPr>
          <w:p w14:paraId="3149D184">
            <w:pPr>
              <w:widowControl/>
              <w:adjustRightInd/>
              <w:spacing w:line="360" w:lineRule="auto"/>
              <w:ind w:firstLine="220" w:firstLineChars="0"/>
              <w:jc w:val="left"/>
              <w:rPr>
                <w:rFonts w:ascii="宋体" w:hAnsi="宋体" w:cs="宋体" w:eastAsiaTheme="minorHAnsi"/>
                <w:color w:val="000000" w:themeColor="text1"/>
                <w:sz w:val="22"/>
                <w:szCs w:val="21"/>
                <w:highlight w:val="none"/>
                <w14:textFill>
                  <w14:solidFill>
                    <w14:schemeClr w14:val="tx1"/>
                  </w14:solidFill>
                </w14:textFill>
              </w:rPr>
            </w:pPr>
          </w:p>
        </w:tc>
      </w:tr>
    </w:tbl>
    <w:p w14:paraId="6E61BC9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注：监测数据捕获率为所有站点单独统计后求平均值，单个站点监测数据捕获率=系统实际接收数据数量/系统应接收数据数量×100%，由于其它第三方因素（停产停运、关停搬迁、监控中心断电、通信运营商网络故障等客观因素）导致的数据缺失，成交供应商提交说明材料，由采购人管理部门确认后可剔除出系统应接收数据数量。</w:t>
      </w:r>
    </w:p>
    <w:p w14:paraId="368D2B1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3、运维费用核算方法</w:t>
      </w:r>
    </w:p>
    <w:p w14:paraId="60BB3F1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（1）当期考核分≥90分，正常支付，不扣减；</w:t>
      </w:r>
    </w:p>
    <w:p w14:paraId="0A711DFF">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（2）70分≤当期考核总分＜90分，扣减当期应支付运维费用的1%-20%；具体扣减规则为：当期考核分每低1分对应扣减1%，例如，当期考核总分为89分扣减1%，当期考核总分为88分扣减2%，以此类推。</w:t>
      </w:r>
    </w:p>
    <w:p w14:paraId="309866A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（3）当期考核总分＜70分，扣减当期应支付运维费用的50%，并且采购人有权解除合同。</w:t>
      </w:r>
    </w:p>
    <w:p w14:paraId="61A7C6A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（4）在服务期限内，若乙方原因造成不良影响的(如上级部门检查不合格、通报等) 甲方有权扣除当期运维款项金额的10%。</w:t>
      </w:r>
    </w:p>
    <w:p w14:paraId="7C7DADCA">
      <w:pPr>
        <w:rPr>
          <w:color w:val="000000" w:themeColor="text1"/>
          <w:highlight w:val="none"/>
          <w14:textFill>
            <w14:solidFill>
              <w14:schemeClr w14:val="tx1"/>
            </w14:solidFill>
          </w14:textFill>
        </w:rPr>
      </w:pPr>
    </w:p>
    <w:p w14:paraId="22D828FE">
      <w:pPr>
        <w:pStyle w:val="18"/>
        <w:ind w:firstLine="569"/>
        <w:rPr>
          <w:rFonts w:hint="eastAsia"/>
          <w:color w:val="000000" w:themeColor="text1"/>
          <w:highlight w:val="none"/>
          <w14:textFill>
            <w14:solidFill>
              <w14:schemeClr w14:val="tx1"/>
            </w14:solidFill>
          </w14:textFill>
        </w:rPr>
      </w:pPr>
    </w:p>
    <w:p w14:paraId="59A95C88">
      <w:pPr>
        <w:pStyle w:val="18"/>
        <w:ind w:firstLine="569"/>
        <w:rPr>
          <w:rFonts w:hint="eastAsia"/>
          <w:color w:val="000000" w:themeColor="text1"/>
          <w:highlight w:val="none"/>
          <w14:textFill>
            <w14:solidFill>
              <w14:schemeClr w14:val="tx1"/>
            </w14:solidFill>
          </w14:textFill>
        </w:rPr>
      </w:pPr>
    </w:p>
    <w:p w14:paraId="514FB974">
      <w:pPr>
        <w:pStyle w:val="18"/>
        <w:ind w:firstLine="569"/>
        <w:rPr>
          <w:rFonts w:hint="eastAsia"/>
          <w:color w:val="000000" w:themeColor="text1"/>
          <w:highlight w:val="none"/>
          <w14:textFill>
            <w14:solidFill>
              <w14:schemeClr w14:val="tx1"/>
            </w14:solidFill>
          </w14:textFill>
        </w:rPr>
      </w:pPr>
    </w:p>
    <w:p w14:paraId="7A8A6E21">
      <w:pPr>
        <w:pStyle w:val="18"/>
        <w:ind w:firstLine="569"/>
        <w:rPr>
          <w:rFonts w:hint="eastAsia"/>
          <w:color w:val="000000" w:themeColor="text1"/>
          <w:highlight w:val="none"/>
          <w14:textFill>
            <w14:solidFill>
              <w14:schemeClr w14:val="tx1"/>
            </w14:solidFill>
          </w14:textFill>
        </w:rPr>
      </w:pPr>
    </w:p>
    <w:p w14:paraId="2BAFE3C5">
      <w:pPr>
        <w:pStyle w:val="18"/>
        <w:ind w:firstLine="56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第六章 投标文件的编制要求及参考格式</w:t>
      </w:r>
      <w:bookmarkStart w:id="340" w:name="_Hlt26955039"/>
      <w:bookmarkEnd w:id="340"/>
      <w:bookmarkStart w:id="341" w:name="_Hlt26671244"/>
      <w:bookmarkEnd w:id="341"/>
      <w:bookmarkStart w:id="342" w:name="_Toc26554094"/>
      <w:bookmarkStart w:id="343" w:name="_Toc282446331"/>
      <w:bookmarkStart w:id="344" w:name="_Toc49090576"/>
      <w:bookmarkStart w:id="345" w:name="_Toc288030359"/>
      <w:bookmarkStart w:id="346" w:name="_Toc120614282"/>
    </w:p>
    <w:p w14:paraId="15C1D91B">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bookmarkStart w:id="347" w:name="_Toc426469932"/>
      <w:r>
        <w:rPr>
          <w:rFonts w:hint="eastAsia" w:ascii="宋体" w:hAnsi="宋体" w:cs="宋体"/>
          <w:color w:val="000000" w:themeColor="text1"/>
          <w:sz w:val="22"/>
          <w:szCs w:val="22"/>
          <w:highlight w:val="none"/>
          <w14:textFill>
            <w14:solidFill>
              <w14:schemeClr w14:val="tx1"/>
            </w14:solidFill>
          </w14:textFill>
        </w:rPr>
        <w:t>1.投标文件的组成</w:t>
      </w:r>
      <w:bookmarkEnd w:id="347"/>
    </w:p>
    <w:p w14:paraId="48B2A0CC">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bookmarkStart w:id="348" w:name="_Toc426469933"/>
      <w:r>
        <w:rPr>
          <w:rFonts w:hint="eastAsia" w:ascii="宋体" w:hAnsi="宋体" w:cs="宋体"/>
          <w:color w:val="000000" w:themeColor="text1"/>
          <w:sz w:val="22"/>
          <w:szCs w:val="22"/>
          <w:highlight w:val="none"/>
          <w14:textFill>
            <w14:solidFill>
              <w14:schemeClr w14:val="tx1"/>
            </w14:solidFill>
          </w14:textFill>
        </w:rPr>
        <w:t>见本招标文件第二章3.1条。</w:t>
      </w:r>
    </w:p>
    <w:p w14:paraId="07CF909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2.投标文件的编制内容及编制要求</w:t>
      </w:r>
      <w:bookmarkEnd w:id="348"/>
    </w:p>
    <w:p w14:paraId="40EAF2E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2.1开标一览表</w:t>
      </w:r>
    </w:p>
    <w:p w14:paraId="10767AE4">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2.1.1 投标人应按表中格式完整、清晰、正确填写；</w:t>
      </w:r>
    </w:p>
    <w:p w14:paraId="2C553BEB">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2.1.2开标一览表中的价格应与投标文件中</w:t>
      </w:r>
      <w:bookmarkStart w:id="349" w:name="OLE_LINK8"/>
      <w:r>
        <w:rPr>
          <w:rFonts w:hint="eastAsia" w:ascii="宋体" w:hAnsi="宋体" w:cs="宋体"/>
          <w:color w:val="000000" w:themeColor="text1"/>
          <w:sz w:val="22"/>
          <w:szCs w:val="22"/>
          <w:highlight w:val="none"/>
          <w14:textFill>
            <w14:solidFill>
              <w14:schemeClr w14:val="tx1"/>
            </w14:solidFill>
          </w14:textFill>
        </w:rPr>
        <w:t>投标报价明细表</w:t>
      </w:r>
      <w:bookmarkEnd w:id="349"/>
      <w:r>
        <w:rPr>
          <w:rFonts w:hint="eastAsia" w:ascii="宋体" w:hAnsi="宋体" w:cs="宋体"/>
          <w:color w:val="000000" w:themeColor="text1"/>
          <w:sz w:val="22"/>
          <w:szCs w:val="22"/>
          <w:highlight w:val="none"/>
          <w14:textFill>
            <w14:solidFill>
              <w14:schemeClr w14:val="tx1"/>
            </w14:solidFill>
          </w14:textFill>
        </w:rPr>
        <w:t>中的价格一致。</w:t>
      </w:r>
    </w:p>
    <w:p w14:paraId="5CE87DF6">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2.1.3开标一览表格式见附件。</w:t>
      </w:r>
    </w:p>
    <w:p w14:paraId="5E352D2B">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2.2 投标函</w:t>
      </w:r>
    </w:p>
    <w:p w14:paraId="3912AC8E">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2.2.1投标人应按表中规定格式完整、清晰、正确填写；</w:t>
      </w:r>
    </w:p>
    <w:p w14:paraId="1C728693">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2.2.2投标函必须内容完整且</w:t>
      </w:r>
      <w:r>
        <w:rPr>
          <w:rFonts w:hint="eastAsia" w:ascii="宋体" w:hAnsi="宋体" w:cs="宋体"/>
          <w:color w:val="000000" w:themeColor="text1"/>
          <w:sz w:val="22"/>
          <w:szCs w:val="22"/>
          <w:highlight w:val="none"/>
          <w:lang w:val="en-US" w:eastAsia="zh-CN"/>
          <w14:textFill>
            <w14:solidFill>
              <w14:schemeClr w14:val="tx1"/>
            </w14:solidFill>
          </w14:textFill>
        </w:rPr>
        <w:t>签章完备</w:t>
      </w:r>
      <w:r>
        <w:rPr>
          <w:rFonts w:hint="eastAsia" w:ascii="宋体" w:hAnsi="宋体" w:cs="宋体"/>
          <w:color w:val="000000" w:themeColor="text1"/>
          <w:sz w:val="22"/>
          <w:szCs w:val="22"/>
          <w:highlight w:val="none"/>
          <w14:textFill>
            <w14:solidFill>
              <w14:schemeClr w14:val="tx1"/>
            </w14:solidFill>
          </w14:textFill>
        </w:rPr>
        <w:t>。</w:t>
      </w:r>
    </w:p>
    <w:p w14:paraId="70A177B6">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2.3投标报价明细表及分析说明</w:t>
      </w:r>
    </w:p>
    <w:p w14:paraId="7D7A77C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2.3.1投标人必须按表中规定格式完整、清晰、正确填写，表格中各项可进一步细分，栏数不够可自行添加。</w:t>
      </w:r>
    </w:p>
    <w:p w14:paraId="5E52E8E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2.3.2投标报价明细表及分析说明见附件。</w:t>
      </w:r>
    </w:p>
    <w:p w14:paraId="2DBD1838">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2.4投标人资格条件证明文件</w:t>
      </w:r>
    </w:p>
    <w:p w14:paraId="4A56E852">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（1）投标人基本资格条件承诺函；</w:t>
      </w:r>
    </w:p>
    <w:p w14:paraId="031B72AD">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（2）招标文件要求的其他资格条件证明材料：具有有效的营业执照等（附证书的扫描件）。</w:t>
      </w:r>
    </w:p>
    <w:p w14:paraId="4F0B0501">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2.5联合体协议书（如有时）</w:t>
      </w:r>
    </w:p>
    <w:p w14:paraId="74CBCD01">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2.6采购需求响应表</w:t>
      </w:r>
    </w:p>
    <w:p w14:paraId="4984A7CF">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投标人应仔细阅读招标文件五章采购需求，结合自身的实际情况，如实编制，格式自拟。</w:t>
      </w:r>
      <w:r>
        <w:rPr>
          <w:rFonts w:hint="eastAsia" w:ascii="宋体" w:hAnsi="宋体" w:cs="宋体"/>
          <w:b/>
          <w:bCs/>
          <w:color w:val="000000" w:themeColor="text1"/>
          <w:sz w:val="22"/>
          <w:szCs w:val="22"/>
          <w:highlight w:val="none"/>
          <w14:textFill>
            <w14:solidFill>
              <w14:schemeClr w14:val="tx1"/>
            </w14:solidFill>
          </w14:textFill>
        </w:rPr>
        <w:t>采购需求响应表须详细说明实际提供的服务及其他采购需求中相关要求的响应情况。</w:t>
      </w:r>
    </w:p>
    <w:p w14:paraId="01268133">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2.7投标人认为应列入投标文件的其他材料</w:t>
      </w:r>
    </w:p>
    <w:p w14:paraId="3D374291">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投标人应对照第三章资格审查及评标办法中的评审因素，结合自身的实际情况，如实编制，格式自拟。</w:t>
      </w:r>
    </w:p>
    <w:p w14:paraId="0C0181A2">
      <w:pPr>
        <w:widowControl/>
        <w:pBdr>
          <w:top w:val="none" w:color="000000" w:sz="0" w:space="0"/>
          <w:left w:val="none" w:color="000000" w:sz="0" w:space="0"/>
          <w:bottom w:val="none" w:color="000000" w:sz="0" w:space="0"/>
          <w:right w:val="none" w:color="000000" w:sz="0" w:space="0"/>
        </w:pBdr>
        <w:adjustRightInd/>
        <w:snapToGrid/>
        <w:spacing w:line="360" w:lineRule="auto"/>
        <w:ind w:firstLine="480" w:firstLineChars="200"/>
        <w:jc w:val="left"/>
        <w:rPr>
          <w:rFonts w:hint="eastAsia" w:ascii="宋体" w:hAnsi="宋体" w:cs="宋体"/>
          <w:color w:val="000000" w:themeColor="text1"/>
          <w:highlight w:val="none"/>
          <w14:textFill>
            <w14:solidFill>
              <w14:schemeClr w14:val="tx1"/>
            </w14:solidFill>
          </w14:textFill>
        </w:rPr>
      </w:pPr>
      <w:bookmarkStart w:id="350" w:name="_Toc426469934"/>
      <w:r>
        <w:rPr>
          <w:color w:val="000000" w:themeColor="text1"/>
          <w:highlight w:val="none"/>
          <w14:textFill>
            <w14:solidFill>
              <w14:schemeClr w14:val="tx1"/>
            </w14:solidFill>
          </w14:textFill>
        </w:rPr>
        <w:br w:type="page"/>
      </w:r>
      <w:r>
        <w:rPr>
          <w:rFonts w:hint="eastAsia" w:ascii="宋体" w:hAnsi="宋体" w:cs="宋体"/>
          <w:b/>
          <w:bCs/>
          <w:color w:val="000000" w:themeColor="text1"/>
          <w:highlight w:val="none"/>
          <w14:textFill>
            <w14:solidFill>
              <w14:schemeClr w14:val="tx1"/>
            </w14:solidFill>
          </w14:textFill>
        </w:rPr>
        <w:t>3. 投标文件参考格式</w:t>
      </w:r>
      <w:bookmarkEnd w:id="342"/>
      <w:bookmarkEnd w:id="343"/>
      <w:bookmarkEnd w:id="344"/>
      <w:bookmarkEnd w:id="345"/>
      <w:bookmarkEnd w:id="346"/>
      <w:bookmarkEnd w:id="350"/>
      <w:bookmarkStart w:id="351" w:name="_Toc426469936"/>
      <w:bookmarkStart w:id="352" w:name="_Toc426469937"/>
      <w:bookmarkStart w:id="353" w:name="_Toc382812507"/>
      <w:bookmarkStart w:id="354" w:name="_Toc383623749"/>
      <w:bookmarkStart w:id="355" w:name="_Toc382811202"/>
      <w:bookmarkStart w:id="356" w:name="_Toc383626069"/>
      <w:bookmarkStart w:id="357" w:name="_Toc390099111"/>
      <w:bookmarkStart w:id="358" w:name="_Toc382812316"/>
      <w:bookmarkStart w:id="359" w:name="_Toc390098915"/>
      <w:bookmarkStart w:id="360" w:name="_Toc383587529"/>
      <w:bookmarkStart w:id="361" w:name="_Toc382814038"/>
      <w:bookmarkStart w:id="362" w:name="_Toc382813957"/>
      <w:bookmarkStart w:id="363" w:name="_Toc382811607"/>
      <w:bookmarkStart w:id="364" w:name="_Toc383698722"/>
      <w:bookmarkStart w:id="365" w:name="_Toc383679822"/>
      <w:bookmarkStart w:id="366" w:name="_Toc390246998"/>
      <w:bookmarkStart w:id="367" w:name="_Toc383624021"/>
    </w:p>
    <w:p w14:paraId="30D6D156">
      <w:pPr>
        <w:widowControl/>
        <w:pBdr>
          <w:top w:val="none" w:color="000000" w:sz="0" w:space="0"/>
          <w:left w:val="none" w:color="000000" w:sz="0" w:space="0"/>
          <w:bottom w:val="none" w:color="000000" w:sz="0" w:space="0"/>
          <w:right w:val="none" w:color="000000" w:sz="0" w:space="0"/>
        </w:pBdr>
        <w:adjustRightInd/>
        <w:snapToGrid/>
        <w:spacing w:line="360" w:lineRule="auto"/>
        <w:ind w:firstLine="480" w:firstLineChars="20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3.1投标文件封面格式</w:t>
      </w:r>
      <w:bookmarkEnd w:id="351"/>
    </w:p>
    <w:p w14:paraId="3C298D89">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p>
    <w:p w14:paraId="21278A93">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p>
    <w:p w14:paraId="04FC0006">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p>
    <w:p w14:paraId="529998C1">
      <w:pPr>
        <w:widowControl/>
        <w:pBdr>
          <w:top w:val="none" w:color="000000" w:sz="0" w:space="0"/>
          <w:left w:val="none" w:color="000000" w:sz="0" w:space="0"/>
          <w:bottom w:val="none" w:color="000000" w:sz="0" w:space="0"/>
          <w:right w:val="none" w:color="000000" w:sz="0" w:space="0"/>
        </w:pBdr>
        <w:adjustRightInd/>
        <w:snapToGrid/>
        <w:spacing w:line="360" w:lineRule="auto"/>
        <w:ind w:firstLine="480" w:firstLineChars="200"/>
        <w:jc w:val="left"/>
        <w:rPr>
          <w:rFonts w:hint="eastAsia" w:ascii="宋体" w:hAnsi="宋体" w:cs="宋体"/>
          <w:color w:val="000000" w:themeColor="text1"/>
          <w:highlight w:val="none"/>
          <w14:textFill>
            <w14:solidFill>
              <w14:schemeClr w14:val="tx1"/>
            </w14:solidFill>
          </w14:textFill>
        </w:rPr>
      </w:pPr>
    </w:p>
    <w:p w14:paraId="69861541">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投标文件</w:t>
      </w:r>
    </w:p>
    <w:p w14:paraId="57EA4317">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rPr>
          <w:rFonts w:hint="eastAsia" w:ascii="宋体" w:hAnsi="宋体" w:cs="宋体"/>
          <w:color w:val="000000" w:themeColor="text1"/>
          <w:sz w:val="22"/>
          <w:szCs w:val="22"/>
          <w:highlight w:val="none"/>
          <w14:textFill>
            <w14:solidFill>
              <w14:schemeClr w14:val="tx1"/>
            </w14:solidFill>
          </w14:textFill>
        </w:rPr>
      </w:pPr>
    </w:p>
    <w:p w14:paraId="511CB973">
      <w:pPr>
        <w:widowControl/>
        <w:pBdr>
          <w:top w:val="none" w:color="000000" w:sz="0" w:space="0"/>
          <w:left w:val="none" w:color="000000" w:sz="0" w:space="0"/>
          <w:bottom w:val="none" w:color="000000" w:sz="0" w:space="0"/>
          <w:right w:val="none" w:color="000000" w:sz="0" w:space="0"/>
        </w:pBdr>
        <w:adjustRightInd/>
        <w:snapToGrid/>
        <w:spacing w:line="360" w:lineRule="auto"/>
        <w:ind w:firstLine="480" w:firstLineChars="20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p>
    <w:p w14:paraId="5603406D">
      <w:pPr>
        <w:widowControl/>
        <w:pBdr>
          <w:top w:val="none" w:color="000000" w:sz="0" w:space="0"/>
          <w:left w:val="none" w:color="000000" w:sz="0" w:space="0"/>
          <w:bottom w:val="none" w:color="000000" w:sz="0" w:space="0"/>
          <w:right w:val="none" w:color="000000" w:sz="0" w:space="0"/>
        </w:pBdr>
        <w:adjustRightInd/>
        <w:snapToGrid/>
        <w:spacing w:line="360" w:lineRule="auto"/>
        <w:ind w:firstLine="480" w:firstLineChars="200"/>
        <w:rPr>
          <w:rFonts w:hint="eastAsia" w:ascii="宋体" w:hAnsi="宋体" w:cs="宋体"/>
          <w:color w:val="000000" w:themeColor="text1"/>
          <w:highlight w:val="none"/>
          <w14:textFill>
            <w14:solidFill>
              <w14:schemeClr w14:val="tx1"/>
            </w14:solidFill>
          </w14:textFill>
        </w:rPr>
      </w:pPr>
    </w:p>
    <w:p w14:paraId="55CB72A8">
      <w:pPr>
        <w:widowControl/>
        <w:pBdr>
          <w:top w:val="none" w:color="000000" w:sz="0" w:space="0"/>
          <w:left w:val="none" w:color="000000" w:sz="0" w:space="0"/>
          <w:bottom w:val="none" w:color="000000" w:sz="0" w:space="0"/>
          <w:right w:val="none" w:color="000000" w:sz="0" w:space="0"/>
        </w:pBdr>
        <w:adjustRightInd/>
        <w:snapToGrid/>
        <w:spacing w:line="360" w:lineRule="auto"/>
        <w:ind w:firstLine="480" w:firstLineChars="20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项目编号：</w:t>
      </w:r>
    </w:p>
    <w:p w14:paraId="78FA87CC">
      <w:pPr>
        <w:widowControl/>
        <w:pBdr>
          <w:top w:val="none" w:color="000000" w:sz="0" w:space="0"/>
          <w:left w:val="none" w:color="000000" w:sz="0" w:space="0"/>
          <w:bottom w:val="none" w:color="000000" w:sz="0" w:space="0"/>
          <w:right w:val="none" w:color="000000" w:sz="0" w:space="0"/>
        </w:pBdr>
        <w:adjustRightInd/>
        <w:snapToGrid/>
        <w:spacing w:line="360" w:lineRule="auto"/>
        <w:ind w:firstLine="480" w:firstLineChars="200"/>
        <w:jc w:val="left"/>
        <w:rPr>
          <w:rFonts w:hint="eastAsia" w:ascii="宋体" w:hAnsi="宋体" w:cs="宋体"/>
          <w:color w:val="000000" w:themeColor="text1"/>
          <w:highlight w:val="none"/>
          <w14:textFill>
            <w14:solidFill>
              <w14:schemeClr w14:val="tx1"/>
            </w14:solidFill>
          </w14:textFill>
        </w:rPr>
      </w:pPr>
    </w:p>
    <w:p w14:paraId="3E38851C">
      <w:pPr>
        <w:widowControl/>
        <w:pBdr>
          <w:top w:val="none" w:color="000000" w:sz="0" w:space="0"/>
          <w:left w:val="none" w:color="000000" w:sz="0" w:space="0"/>
          <w:bottom w:val="none" w:color="000000" w:sz="0" w:space="0"/>
          <w:right w:val="none" w:color="000000" w:sz="0" w:space="0"/>
        </w:pBdr>
        <w:adjustRightInd/>
        <w:snapToGrid/>
        <w:spacing w:line="360" w:lineRule="auto"/>
        <w:ind w:firstLine="480" w:firstLineChars="200"/>
        <w:jc w:val="left"/>
        <w:rPr>
          <w:rFonts w:hint="eastAsia" w:ascii="宋体" w:hAnsi="宋体" w:cs="宋体"/>
          <w:color w:val="000000" w:themeColor="text1"/>
          <w:highlight w:val="none"/>
          <w14:textFill>
            <w14:solidFill>
              <w14:schemeClr w14:val="tx1"/>
            </w14:solidFill>
          </w14:textFill>
        </w:rPr>
      </w:pPr>
    </w:p>
    <w:p w14:paraId="19576182">
      <w:pPr>
        <w:widowControl/>
        <w:pBdr>
          <w:top w:val="none" w:color="000000" w:sz="0" w:space="0"/>
          <w:left w:val="none" w:color="000000" w:sz="0" w:space="0"/>
          <w:bottom w:val="none" w:color="000000" w:sz="0" w:space="0"/>
          <w:right w:val="none" w:color="000000" w:sz="0" w:space="0"/>
        </w:pBdr>
        <w:adjustRightInd/>
        <w:snapToGrid/>
        <w:spacing w:line="360" w:lineRule="auto"/>
        <w:ind w:firstLine="480" w:firstLineChars="200"/>
        <w:jc w:val="left"/>
        <w:rPr>
          <w:rFonts w:hint="eastAsia" w:ascii="宋体" w:hAnsi="宋体" w:cs="宋体"/>
          <w:color w:val="000000" w:themeColor="text1"/>
          <w:highlight w:val="none"/>
          <w14:textFill>
            <w14:solidFill>
              <w14:schemeClr w14:val="tx1"/>
            </w14:solidFill>
          </w14:textFill>
        </w:rPr>
      </w:pPr>
    </w:p>
    <w:p w14:paraId="48448600">
      <w:pPr>
        <w:widowControl/>
        <w:pBdr>
          <w:top w:val="none" w:color="000000" w:sz="0" w:space="0"/>
          <w:left w:val="none" w:color="000000" w:sz="0" w:space="0"/>
          <w:bottom w:val="none" w:color="000000" w:sz="0" w:space="0"/>
          <w:right w:val="none" w:color="000000" w:sz="0" w:space="0"/>
        </w:pBdr>
        <w:adjustRightInd/>
        <w:snapToGrid/>
        <w:spacing w:line="360" w:lineRule="auto"/>
        <w:ind w:firstLine="480" w:firstLineChars="20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投标人名称：（盖投标人公章）</w:t>
      </w:r>
    </w:p>
    <w:p w14:paraId="07D59CAC">
      <w:pPr>
        <w:widowControl/>
        <w:pBdr>
          <w:top w:val="none" w:color="000000" w:sz="0" w:space="0"/>
          <w:left w:val="none" w:color="000000" w:sz="0" w:space="0"/>
          <w:bottom w:val="none" w:color="000000" w:sz="0" w:space="0"/>
          <w:right w:val="none" w:color="000000" w:sz="0" w:space="0"/>
        </w:pBdr>
        <w:adjustRightInd/>
        <w:snapToGrid/>
        <w:spacing w:line="360" w:lineRule="auto"/>
        <w:ind w:firstLine="3600" w:firstLineChars="1500"/>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联系人：</w:t>
      </w:r>
    </w:p>
    <w:p w14:paraId="28E830D4">
      <w:pPr>
        <w:widowControl/>
        <w:pBdr>
          <w:top w:val="none" w:color="000000" w:sz="0" w:space="0"/>
          <w:left w:val="none" w:color="000000" w:sz="0" w:space="0"/>
          <w:bottom w:val="none" w:color="000000" w:sz="0" w:space="0"/>
          <w:right w:val="none" w:color="000000" w:sz="0" w:space="0"/>
        </w:pBdr>
        <w:adjustRightInd/>
        <w:snapToGrid/>
        <w:spacing w:line="360" w:lineRule="auto"/>
        <w:ind w:firstLine="3600" w:firstLineChars="1500"/>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联系电话：</w:t>
      </w:r>
    </w:p>
    <w:p w14:paraId="6EA5ED49">
      <w:pPr>
        <w:widowControl/>
        <w:pBdr>
          <w:top w:val="none" w:color="000000" w:sz="0" w:space="0"/>
          <w:left w:val="none" w:color="000000" w:sz="0" w:space="0"/>
          <w:bottom w:val="none" w:color="000000" w:sz="0" w:space="0"/>
          <w:right w:val="none" w:color="000000" w:sz="0" w:space="0"/>
        </w:pBdr>
        <w:adjustRightInd/>
        <w:snapToGrid/>
        <w:spacing w:line="360" w:lineRule="auto"/>
        <w:ind w:firstLine="3600" w:firstLineChars="1500"/>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日期：______年____月____日</w:t>
      </w:r>
    </w:p>
    <w:p w14:paraId="6E8CF32A">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rPr>
          <w:rFonts w:hint="eastAsia" w:ascii="宋体" w:hAnsi="宋体" w:cs="宋体"/>
          <w:color w:val="000000" w:themeColor="text1"/>
          <w:sz w:val="22"/>
          <w:szCs w:val="22"/>
          <w:highlight w:val="none"/>
          <w14:textFill>
            <w14:solidFill>
              <w14:schemeClr w14:val="tx1"/>
            </w14:solidFill>
          </w14:textFill>
        </w:rPr>
      </w:pPr>
    </w:p>
    <w:p w14:paraId="305996F5">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rFonts w:hint="eastAsia" w:ascii="宋体" w:hAnsi="宋体" w:cs="宋体"/>
          <w:color w:val="000000" w:themeColor="text1"/>
          <w:sz w:val="22"/>
          <w:szCs w:val="22"/>
          <w:highlight w:val="none"/>
          <w14:textFill>
            <w14:solidFill>
              <w14:schemeClr w14:val="tx1"/>
            </w14:solidFill>
          </w14:textFill>
        </w:rPr>
      </w:pPr>
    </w:p>
    <w:p w14:paraId="780102DA">
      <w:pPr>
        <w:widowControl/>
        <w:pBdr>
          <w:top w:val="none" w:color="000000" w:sz="0" w:space="0"/>
          <w:left w:val="none" w:color="000000" w:sz="0" w:space="0"/>
          <w:bottom w:val="none" w:color="000000" w:sz="0" w:space="0"/>
          <w:right w:val="none" w:color="000000" w:sz="0" w:space="0"/>
        </w:pBdr>
        <w:adjustRightInd/>
        <w:snapToGrid/>
        <w:spacing w:line="360" w:lineRule="auto"/>
        <w:ind w:firstLine="440" w:firstLineChars="200"/>
        <w:jc w:val="left"/>
        <w:rPr>
          <w:color w:val="000000" w:themeColor="text1"/>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br w:type="page"/>
      </w:r>
    </w:p>
    <w:p w14:paraId="59D75AD5">
      <w:pPr>
        <w:widowControl/>
        <w:pBdr>
          <w:top w:val="none" w:color="000000" w:sz="0" w:space="0"/>
          <w:left w:val="none" w:color="000000" w:sz="0" w:space="0"/>
          <w:bottom w:val="none" w:color="000000" w:sz="0" w:space="0"/>
          <w:right w:val="none" w:color="000000" w:sz="0" w:space="0"/>
        </w:pBdr>
        <w:adjustRightInd/>
        <w:snapToGrid/>
        <w:spacing w:line="360" w:lineRule="auto"/>
        <w:ind w:firstLine="482" w:firstLineChars="200"/>
        <w:jc w:val="lef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3.2开标一览表</w:t>
      </w:r>
      <w:bookmarkEnd w:id="352"/>
    </w:p>
    <w:p w14:paraId="35C47E1D">
      <w:pPr>
        <w:widowControl/>
        <w:adjustRightInd/>
        <w:snapToGrid/>
        <w:spacing w:after="60" w:line="276" w:lineRule="auto"/>
        <w:ind w:firstLine="240" w:firstLineChars="0"/>
        <w:rPr>
          <w:rFonts w:ascii="宋体" w:hAnsi="宋体" w:cs="宋体" w:eastAsiaTheme="minorHAnsi"/>
          <w:color w:val="000000" w:themeColor="text1"/>
          <w:highlight w:val="none"/>
          <w14:textFill>
            <w14:solidFill>
              <w14:schemeClr w14:val="tx1"/>
            </w14:solidFill>
          </w14:textFill>
        </w:rPr>
      </w:pPr>
      <w:bookmarkStart w:id="368" w:name="_Toc426469938"/>
      <w:r>
        <w:rPr>
          <w:rFonts w:hint="eastAsia" w:ascii="宋体" w:hAnsi="宋体" w:cs="宋体" w:eastAsiaTheme="minorHAnsi"/>
          <w:color w:val="000000" w:themeColor="text1"/>
          <w:highlight w:val="none"/>
          <w14:textFill>
            <w14:solidFill>
              <w14:schemeClr w14:val="tx1"/>
            </w14:solidFill>
          </w14:textFill>
        </w:rPr>
        <w:t>开标一览表</w:t>
      </w:r>
    </w:p>
    <w:p w14:paraId="4E26E51E">
      <w:pPr>
        <w:pStyle w:val="3"/>
        <w:rPr>
          <w:color w:val="000000" w:themeColor="text1"/>
          <w:highlight w:val="none"/>
          <w14:textFill>
            <w14:solidFill>
              <w14:schemeClr w14:val="tx1"/>
            </w14:solidFill>
          </w14:textFill>
        </w:rPr>
      </w:pPr>
    </w:p>
    <w:p w14:paraId="45308DC9">
      <w:pPr>
        <w:widowControl/>
        <w:adjustRightInd/>
        <w:snapToGrid/>
        <w:spacing w:after="60" w:line="276" w:lineRule="auto"/>
        <w:ind w:firstLine="240" w:firstLineChars="0"/>
        <w:jc w:val="left"/>
        <w:rPr>
          <w:rFonts w:ascii="宋体" w:hAnsi="宋体" w:cs="宋体" w:eastAsiaTheme="minorHAnsi"/>
          <w:color w:val="000000" w:themeColor="text1"/>
          <w:highlight w:val="none"/>
          <w14:textFill>
            <w14:solidFill>
              <w14:schemeClr w14:val="tx1"/>
            </w14:solidFill>
          </w14:textFill>
        </w:rPr>
      </w:pPr>
      <w:r>
        <w:rPr>
          <w:rFonts w:hint="eastAsia" w:ascii="宋体" w:hAnsi="宋体" w:cs="宋体" w:eastAsiaTheme="minorHAnsi"/>
          <w:color w:val="000000" w:themeColor="text1"/>
          <w:highlight w:val="none"/>
          <w14:textFill>
            <w14:solidFill>
              <w14:schemeClr w14:val="tx1"/>
            </w14:solidFill>
          </w14:textFill>
        </w:rPr>
        <w:t>项目编号： 项目编号</w:t>
      </w:r>
    </w:p>
    <w:p w14:paraId="72BC2258">
      <w:pPr>
        <w:widowControl/>
        <w:adjustRightInd/>
        <w:snapToGrid/>
        <w:spacing w:after="60" w:line="276" w:lineRule="auto"/>
        <w:ind w:firstLine="240" w:firstLineChars="0"/>
        <w:jc w:val="left"/>
        <w:rPr>
          <w:rFonts w:ascii="宋体" w:hAnsi="宋体" w:cs="宋体" w:eastAsiaTheme="minorHAnsi"/>
          <w:color w:val="000000" w:themeColor="text1"/>
          <w:highlight w:val="none"/>
          <w:lang w:eastAsia="en-US"/>
          <w14:textFill>
            <w14:solidFill>
              <w14:schemeClr w14:val="tx1"/>
            </w14:solidFill>
          </w14:textFill>
        </w:rPr>
      </w:pPr>
      <w:r>
        <w:rPr>
          <w:rFonts w:hint="eastAsia" w:ascii="宋体" w:hAnsi="宋体" w:cs="宋体" w:eastAsiaTheme="minorHAnsi"/>
          <w:color w:val="000000" w:themeColor="text1"/>
          <w:highlight w:val="none"/>
          <w:lang w:eastAsia="en-US"/>
          <w14:textFill>
            <w14:solidFill>
              <w14:schemeClr w14:val="tx1"/>
            </w14:solidFill>
          </w14:textFill>
        </w:rPr>
        <w:t>货币单位： 人民币元</w:t>
      </w:r>
    </w:p>
    <w:tbl>
      <w:tblPr>
        <w:tblStyle w:val="22"/>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25"/>
        <w:gridCol w:w="6821"/>
      </w:tblGrid>
      <w:tr w14:paraId="77BD8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5" w:hRule="atLeast"/>
        </w:trPr>
        <w:tc>
          <w:tcPr>
            <w:tcW w:w="2025" w:type="dxa"/>
            <w:tcBorders>
              <w:top w:val="single" w:color="auto" w:sz="4" w:space="0"/>
              <w:left w:val="single" w:color="auto" w:sz="4" w:space="0"/>
              <w:bottom w:val="single" w:color="auto" w:sz="4" w:space="0"/>
              <w:right w:val="single" w:color="auto" w:sz="4" w:space="0"/>
            </w:tcBorders>
            <w:noWrap w:val="0"/>
            <w:vAlign w:val="center"/>
          </w:tcPr>
          <w:p w14:paraId="4748DD3B">
            <w:pPr>
              <w:pStyle w:val="3"/>
              <w:spacing w:line="360" w:lineRule="exact"/>
              <w:ind w:firstLine="0" w:firstLineChars="0"/>
              <w:jc w:val="both"/>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采购项目名称</w:t>
            </w:r>
          </w:p>
        </w:tc>
        <w:tc>
          <w:tcPr>
            <w:tcW w:w="6821" w:type="dxa"/>
            <w:tcBorders>
              <w:top w:val="single" w:color="auto" w:sz="4" w:space="0"/>
              <w:left w:val="single" w:color="auto" w:sz="4" w:space="0"/>
              <w:bottom w:val="single" w:color="auto" w:sz="4" w:space="0"/>
              <w:right w:val="single" w:color="auto" w:sz="4" w:space="0"/>
            </w:tcBorders>
            <w:noWrap w:val="0"/>
            <w:vAlign w:val="center"/>
          </w:tcPr>
          <w:p w14:paraId="477B1404">
            <w:pPr>
              <w:pStyle w:val="3"/>
              <w:spacing w:line="360" w:lineRule="exact"/>
              <w:jc w:val="center"/>
              <w:rPr>
                <w:rFonts w:hint="eastAsia" w:ascii="宋体" w:hAnsi="宋体" w:cs="宋体"/>
                <w:color w:val="000000" w:themeColor="text1"/>
                <w:szCs w:val="21"/>
                <w:highlight w:val="none"/>
                <w14:textFill>
                  <w14:solidFill>
                    <w14:schemeClr w14:val="tx1"/>
                  </w14:solidFill>
                </w14:textFill>
              </w:rPr>
            </w:pPr>
          </w:p>
        </w:tc>
      </w:tr>
      <w:tr w14:paraId="0410F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4" w:hRule="atLeast"/>
        </w:trPr>
        <w:tc>
          <w:tcPr>
            <w:tcW w:w="8846" w:type="dxa"/>
            <w:gridSpan w:val="2"/>
            <w:tcBorders>
              <w:top w:val="single" w:color="auto" w:sz="4" w:space="0"/>
              <w:left w:val="single" w:color="auto" w:sz="4" w:space="0"/>
              <w:bottom w:val="single" w:color="auto" w:sz="4" w:space="0"/>
              <w:right w:val="single" w:color="auto" w:sz="4" w:space="0"/>
            </w:tcBorders>
            <w:noWrap w:val="0"/>
            <w:vAlign w:val="center"/>
          </w:tcPr>
          <w:p w14:paraId="662A44B9">
            <w:pPr>
              <w:snapToGrid w:val="0"/>
              <w:spacing w:line="360" w:lineRule="atLeast"/>
              <w:ind w:firstLine="120" w:firstLineChars="50"/>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投标报价：</w:t>
            </w:r>
            <w:r>
              <w:rPr>
                <w:rFonts w:hint="eastAsia" w:ascii="宋体" w:hAnsi="宋体" w:cs="宋体"/>
                <w:color w:val="000000" w:themeColor="text1"/>
                <w:highlight w:val="none"/>
                <w:lang w:val="en-US" w:eastAsia="zh-C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（小写：                  ）</w:t>
            </w:r>
          </w:p>
          <w:p w14:paraId="6B690DE9">
            <w:pPr>
              <w:snapToGrid w:val="0"/>
              <w:spacing w:line="360" w:lineRule="atLeast"/>
              <w:ind w:firstLine="120" w:firstLineChars="50"/>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u w:val="single"/>
                <w14:textFill>
                  <w14:solidFill>
                    <w14:schemeClr w14:val="tx1"/>
                  </w14:solidFill>
                </w14:textFill>
              </w:rPr>
              <w:t>1套微型水质自动监测站费</w:t>
            </w:r>
            <w:r>
              <w:rPr>
                <w:rFonts w:hint="eastAsia" w:ascii="宋体" w:hAnsi="宋体" w:cs="宋体"/>
                <w:color w:val="000000" w:themeColor="text1"/>
                <w:highlight w:val="none"/>
                <w14:textFill>
                  <w14:solidFill>
                    <w14:schemeClr w14:val="tx1"/>
                  </w14:solidFill>
                </w14:textFill>
              </w:rPr>
              <w:t>：             （小写：                  ）</w:t>
            </w:r>
          </w:p>
          <w:p w14:paraId="31D1C218">
            <w:pPr>
              <w:snapToGrid w:val="0"/>
              <w:spacing w:line="360" w:lineRule="atLeast"/>
              <w:ind w:firstLine="120" w:firstLineChars="50"/>
              <w:jc w:val="both"/>
              <w:rPr>
                <w:rFonts w:hint="eastAsia" w:ascii="宋体" w:hAnsi="宋体" w:cs="宋体"/>
                <w:color w:val="000000" w:themeColor="text1"/>
                <w:highlight w:val="none"/>
                <w:u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运维费</w:t>
            </w:r>
            <w:r>
              <w:rPr>
                <w:rFonts w:hint="eastAsia" w:ascii="宋体" w:hAnsi="宋体" w:cs="宋体"/>
                <w:color w:val="000000" w:themeColor="text1"/>
                <w:highlight w:val="none"/>
                <w14:textFill>
                  <w14:solidFill>
                    <w14:schemeClr w14:val="tx1"/>
                  </w14:solidFill>
                </w14:textFill>
              </w:rPr>
              <w:t>：             （小写：                  ）</w:t>
            </w:r>
          </w:p>
        </w:tc>
      </w:tr>
      <w:tr w14:paraId="2AAAB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2025" w:type="dxa"/>
            <w:tcBorders>
              <w:top w:val="single" w:color="auto" w:sz="4" w:space="0"/>
              <w:left w:val="single" w:color="auto" w:sz="4" w:space="0"/>
              <w:bottom w:val="single" w:color="auto" w:sz="4" w:space="0"/>
              <w:right w:val="single" w:color="auto" w:sz="4" w:space="0"/>
            </w:tcBorders>
            <w:noWrap w:val="0"/>
            <w:vAlign w:val="center"/>
          </w:tcPr>
          <w:p w14:paraId="4333C33F">
            <w:pPr>
              <w:pStyle w:val="3"/>
              <w:spacing w:line="360" w:lineRule="exact"/>
              <w:ind w:firstLine="0" w:firstLineChars="0"/>
              <w:jc w:val="both"/>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合同履行</w:t>
            </w:r>
            <w:r>
              <w:rPr>
                <w:rFonts w:hint="eastAsia" w:ascii="宋体" w:hAnsi="宋体" w:cs="宋体"/>
                <w:color w:val="000000" w:themeColor="text1"/>
                <w:szCs w:val="21"/>
                <w:highlight w:val="none"/>
                <w14:textFill>
                  <w14:solidFill>
                    <w14:schemeClr w14:val="tx1"/>
                  </w14:solidFill>
                </w14:textFill>
              </w:rPr>
              <w:t>期限</w:t>
            </w:r>
          </w:p>
        </w:tc>
        <w:tc>
          <w:tcPr>
            <w:tcW w:w="6821" w:type="dxa"/>
            <w:tcBorders>
              <w:top w:val="single" w:color="auto" w:sz="4" w:space="0"/>
              <w:left w:val="single" w:color="auto" w:sz="4" w:space="0"/>
              <w:bottom w:val="single" w:color="auto" w:sz="4" w:space="0"/>
              <w:right w:val="single" w:color="auto" w:sz="4" w:space="0"/>
            </w:tcBorders>
            <w:noWrap w:val="0"/>
            <w:vAlign w:val="center"/>
          </w:tcPr>
          <w:p w14:paraId="5C6E5BD2">
            <w:pPr>
              <w:pStyle w:val="31"/>
              <w:spacing w:line="360" w:lineRule="exact"/>
              <w:jc w:val="both"/>
              <w:rPr>
                <w:rFonts w:hint="eastAsia" w:ascii="宋体" w:hAnsi="宋体" w:eastAsia="宋体" w:cs="宋体"/>
                <w:color w:val="000000" w:themeColor="text1"/>
                <w:kern w:val="2"/>
                <w:sz w:val="21"/>
                <w:szCs w:val="21"/>
                <w:highlight w:val="none"/>
                <w:u w:val="single"/>
                <w14:textFill>
                  <w14:solidFill>
                    <w14:schemeClr w14:val="tx1"/>
                  </w14:solidFill>
                </w14:textFill>
              </w:rPr>
            </w:pPr>
          </w:p>
        </w:tc>
      </w:tr>
      <w:tr w14:paraId="68F2D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8" w:hRule="atLeast"/>
        </w:trPr>
        <w:tc>
          <w:tcPr>
            <w:tcW w:w="2025" w:type="dxa"/>
            <w:tcBorders>
              <w:top w:val="single" w:color="auto" w:sz="4" w:space="0"/>
              <w:left w:val="single" w:color="auto" w:sz="4" w:space="0"/>
              <w:bottom w:val="single" w:color="auto" w:sz="4" w:space="0"/>
              <w:right w:val="single" w:color="auto" w:sz="4" w:space="0"/>
            </w:tcBorders>
            <w:noWrap w:val="0"/>
            <w:vAlign w:val="center"/>
          </w:tcPr>
          <w:p w14:paraId="2583B4B3">
            <w:pPr>
              <w:pStyle w:val="3"/>
              <w:spacing w:line="360" w:lineRule="exact"/>
              <w:ind w:firstLine="0" w:firstLineChars="0"/>
              <w:jc w:val="both"/>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投标有效期</w:t>
            </w:r>
          </w:p>
        </w:tc>
        <w:tc>
          <w:tcPr>
            <w:tcW w:w="6821" w:type="dxa"/>
            <w:tcBorders>
              <w:top w:val="single" w:color="auto" w:sz="4" w:space="0"/>
              <w:left w:val="single" w:color="auto" w:sz="4" w:space="0"/>
              <w:bottom w:val="single" w:color="auto" w:sz="4" w:space="0"/>
              <w:right w:val="single" w:color="auto" w:sz="4" w:space="0"/>
            </w:tcBorders>
            <w:noWrap w:val="0"/>
            <w:vAlign w:val="center"/>
          </w:tcPr>
          <w:p w14:paraId="359381CC">
            <w:pPr>
              <w:pStyle w:val="31"/>
              <w:spacing w:line="360" w:lineRule="exact"/>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14:textFill>
                  <w14:solidFill>
                    <w14:schemeClr w14:val="tx1"/>
                  </w14:solidFill>
                </w14:textFill>
              </w:rPr>
              <w:t>60天</w:t>
            </w:r>
          </w:p>
        </w:tc>
      </w:tr>
      <w:tr w14:paraId="1F85F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2025" w:type="dxa"/>
            <w:tcBorders>
              <w:top w:val="single" w:color="auto" w:sz="4" w:space="0"/>
              <w:left w:val="single" w:color="auto" w:sz="4" w:space="0"/>
              <w:bottom w:val="single" w:color="auto" w:sz="4" w:space="0"/>
              <w:right w:val="single" w:color="auto" w:sz="4" w:space="0"/>
            </w:tcBorders>
            <w:noWrap w:val="0"/>
            <w:vAlign w:val="center"/>
          </w:tcPr>
          <w:p w14:paraId="2C09711C">
            <w:pPr>
              <w:snapToGrid w:val="0"/>
              <w:spacing w:line="360" w:lineRule="exact"/>
              <w:ind w:firstLine="0" w:firstLineChars="0"/>
              <w:jc w:val="both"/>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响应文件份数</w:t>
            </w:r>
          </w:p>
        </w:tc>
        <w:tc>
          <w:tcPr>
            <w:tcW w:w="6821" w:type="dxa"/>
            <w:tcBorders>
              <w:top w:val="single" w:color="auto" w:sz="4" w:space="0"/>
              <w:left w:val="single" w:color="auto" w:sz="4" w:space="0"/>
              <w:bottom w:val="single" w:color="auto" w:sz="4" w:space="0"/>
              <w:right w:val="single" w:color="auto" w:sz="4" w:space="0"/>
            </w:tcBorders>
            <w:noWrap w:val="0"/>
            <w:vAlign w:val="center"/>
          </w:tcPr>
          <w:p w14:paraId="415AA295">
            <w:pPr>
              <w:snapToGrid w:val="0"/>
              <w:spacing w:line="360" w:lineRule="exact"/>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正本：</w:t>
            </w:r>
            <w:r>
              <w:rPr>
                <w:rFonts w:hint="eastAsia" w:ascii="宋体" w:hAnsi="宋体" w:cs="宋体"/>
                <w:color w:val="000000" w:themeColor="text1"/>
                <w:szCs w:val="21"/>
                <w:highlight w:val="none"/>
                <w:u w:val="single"/>
                <w14:textFill>
                  <w14:solidFill>
                    <w14:schemeClr w14:val="tx1"/>
                  </w14:solidFill>
                </w14:textFill>
              </w:rPr>
              <w:t xml:space="preserve">     壹     </w:t>
            </w:r>
            <w:r>
              <w:rPr>
                <w:rFonts w:hint="eastAsia" w:ascii="宋体" w:hAnsi="宋体" w:cs="宋体"/>
                <w:color w:val="000000" w:themeColor="text1"/>
                <w:szCs w:val="21"/>
                <w:highlight w:val="none"/>
                <w14:textFill>
                  <w14:solidFill>
                    <w14:schemeClr w14:val="tx1"/>
                  </w14:solidFill>
                </w14:textFill>
              </w:rPr>
              <w:t>份； 副本：</w:t>
            </w:r>
            <w:r>
              <w:rPr>
                <w:rFonts w:hint="eastAsia" w:ascii="宋体" w:hAnsi="宋体" w:cs="宋体"/>
                <w:color w:val="000000" w:themeColor="text1"/>
                <w:szCs w:val="21"/>
                <w:highlight w:val="none"/>
                <w:u w:val="single"/>
                <w14:textFill>
                  <w14:solidFill>
                    <w14:schemeClr w14:val="tx1"/>
                  </w14:solidFill>
                </w14:textFill>
              </w:rPr>
              <w:t xml:space="preserve">      贰      </w:t>
            </w:r>
            <w:r>
              <w:rPr>
                <w:rFonts w:hint="eastAsia" w:ascii="宋体" w:hAnsi="宋体" w:cs="宋体"/>
                <w:color w:val="000000" w:themeColor="text1"/>
                <w:szCs w:val="21"/>
                <w:highlight w:val="none"/>
                <w14:textFill>
                  <w14:solidFill>
                    <w14:schemeClr w14:val="tx1"/>
                  </w14:solidFill>
                </w14:textFill>
              </w:rPr>
              <w:t>份；</w:t>
            </w:r>
          </w:p>
        </w:tc>
      </w:tr>
      <w:tr w14:paraId="668A4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2025" w:type="dxa"/>
            <w:tcBorders>
              <w:top w:val="single" w:color="auto" w:sz="4" w:space="0"/>
              <w:left w:val="single" w:color="auto" w:sz="4" w:space="0"/>
              <w:bottom w:val="single" w:color="auto" w:sz="4" w:space="0"/>
              <w:right w:val="single" w:color="auto" w:sz="4" w:space="0"/>
            </w:tcBorders>
            <w:noWrap w:val="0"/>
            <w:vAlign w:val="center"/>
          </w:tcPr>
          <w:p w14:paraId="3EA1C894">
            <w:pPr>
              <w:snapToGrid w:val="0"/>
              <w:spacing w:line="360" w:lineRule="exact"/>
              <w:ind w:firstLine="0" w:firstLineChars="0"/>
              <w:jc w:val="both"/>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其他事项声明</w:t>
            </w:r>
          </w:p>
        </w:tc>
        <w:tc>
          <w:tcPr>
            <w:tcW w:w="6821" w:type="dxa"/>
            <w:tcBorders>
              <w:top w:val="single" w:color="auto" w:sz="4" w:space="0"/>
              <w:left w:val="single" w:color="auto" w:sz="4" w:space="0"/>
              <w:bottom w:val="single" w:color="auto" w:sz="4" w:space="0"/>
              <w:right w:val="single" w:color="auto" w:sz="4" w:space="0"/>
            </w:tcBorders>
            <w:noWrap w:val="0"/>
            <w:vAlign w:val="center"/>
          </w:tcPr>
          <w:p w14:paraId="582B9A50">
            <w:pPr>
              <w:snapToGrid w:val="0"/>
              <w:spacing w:line="360" w:lineRule="exact"/>
              <w:jc w:val="left"/>
              <w:rPr>
                <w:rFonts w:hint="eastAsia" w:ascii="宋体" w:hAnsi="宋体" w:cs="宋体"/>
                <w:color w:val="000000" w:themeColor="text1"/>
                <w:szCs w:val="21"/>
                <w:highlight w:val="none"/>
                <w14:textFill>
                  <w14:solidFill>
                    <w14:schemeClr w14:val="tx1"/>
                  </w14:solidFill>
                </w14:textFill>
              </w:rPr>
            </w:pPr>
          </w:p>
        </w:tc>
      </w:tr>
    </w:tbl>
    <w:p w14:paraId="3EF63284">
      <w:pPr>
        <w:rPr>
          <w:color w:val="000000" w:themeColor="text1"/>
          <w:highlight w:val="none"/>
          <w14:textFill>
            <w14:solidFill>
              <w14:schemeClr w14:val="tx1"/>
            </w14:solidFill>
          </w14:textFill>
        </w:rPr>
      </w:pPr>
    </w:p>
    <w:p w14:paraId="43387863">
      <w:pPr>
        <w:pStyle w:val="3"/>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投标人公章：             </w:t>
      </w:r>
      <w:r>
        <w:rPr>
          <w:color w:val="000000" w:themeColor="text1"/>
          <w:highlight w:val="none"/>
          <w14:textFill>
            <w14:solidFill>
              <w14:schemeClr w14:val="tx1"/>
            </w14:solidFill>
          </w14:textFill>
        </w:rPr>
        <w:t>（电子签章）</w:t>
      </w:r>
    </w:p>
    <w:p w14:paraId="686F4B40">
      <w:pPr>
        <w:pStyle w:val="3"/>
        <w:rPr>
          <w:rFonts w:ascii="宋体" w:hAnsi="宋体" w:eastAsiaTheme="minorHAnsi" w:cstheme="minorBidi"/>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r>
        <w:rPr>
          <w:rFonts w:hint="eastAsia" w:ascii="宋体" w:hAnsi="宋体" w:eastAsiaTheme="minorHAnsi" w:cstheme="minorBidi"/>
          <w:color w:val="000000" w:themeColor="text1"/>
          <w:highlight w:val="none"/>
          <w14:textFill>
            <w14:solidFill>
              <w14:schemeClr w14:val="tx1"/>
            </w14:solidFill>
          </w14:textFill>
        </w:rPr>
        <w:t>3.3投标函</w:t>
      </w:r>
      <w:bookmarkEnd w:id="368"/>
    </w:p>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14:paraId="10A6B590">
      <w:pPr>
        <w:widowControl/>
        <w:topLinePunct/>
        <w:spacing w:after="200" w:line="360" w:lineRule="auto"/>
        <w:ind w:firstLine="220" w:firstLineChars="0"/>
        <w:rPr>
          <w:rFonts w:ascii="宋体" w:hAnsi="宋体" w:eastAsiaTheme="minorHAnsi" w:cstheme="minorBidi"/>
          <w:b/>
          <w:bCs/>
          <w:color w:val="000000" w:themeColor="text1"/>
          <w:highlight w:val="none"/>
          <w14:textFill>
            <w14:solidFill>
              <w14:schemeClr w14:val="tx1"/>
            </w14:solidFill>
          </w14:textFill>
        </w:rPr>
      </w:pPr>
      <w:bookmarkStart w:id="369" w:name="_Toc367785041"/>
      <w:r>
        <w:rPr>
          <w:rFonts w:hint="eastAsia" w:ascii="宋体" w:hAnsi="宋体" w:eastAsiaTheme="minorHAnsi" w:cstheme="minorBidi"/>
          <w:b/>
          <w:bCs/>
          <w:color w:val="000000" w:themeColor="text1"/>
          <w:highlight w:val="none"/>
          <w14:textFill>
            <w14:solidFill>
              <w14:schemeClr w14:val="tx1"/>
            </w14:solidFill>
          </w14:textFill>
        </w:rPr>
        <w:t>投标函</w:t>
      </w:r>
      <w:bookmarkEnd w:id="369"/>
    </w:p>
    <w:p w14:paraId="66900A96">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致</w:t>
      </w:r>
      <w:r>
        <w:rPr>
          <w:rFonts w:hint="eastAsia" w:ascii="宋体" w:hAnsi="宋体" w:eastAsiaTheme="minorHAnsi" w:cstheme="minorBidi"/>
          <w:color w:val="000000" w:themeColor="text1"/>
          <w:highlight w:val="none"/>
          <w14:textFill>
            <w14:solidFill>
              <w14:schemeClr w14:val="tx1"/>
            </w14:solidFill>
          </w14:textFill>
        </w:rPr>
        <w:t>：(采购人名称)：</w:t>
      </w:r>
    </w:p>
    <w:p w14:paraId="3EF2FBF4">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根</w:t>
      </w:r>
      <w:r>
        <w:rPr>
          <w:rFonts w:hint="eastAsia" w:ascii="宋体" w:hAnsi="宋体" w:eastAsiaTheme="minorHAnsi" w:cstheme="minorBidi"/>
          <w:color w:val="000000" w:themeColor="text1"/>
          <w:highlight w:val="none"/>
          <w14:textFill>
            <w14:solidFill>
              <w14:schemeClr w14:val="tx1"/>
            </w14:solidFill>
          </w14:textFill>
        </w:rPr>
        <w:t>据（项目名称）招标文件的所有条款要求，遵照《中华人民共和国政府采购法》、《中华人民共和国政府采购法实施条例》等有关规定，我方承诺如下：</w:t>
      </w:r>
    </w:p>
    <w:p w14:paraId="0AB882DB">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eastAsiaTheme="minorHAnsi" w:cstheme="minorBidi"/>
          <w:color w:val="000000" w:themeColor="text1"/>
          <w:highlight w:val="none"/>
          <w14:textFill>
            <w14:solidFill>
              <w14:schemeClr w14:val="tx1"/>
            </w14:solidFill>
          </w14:textFill>
        </w:rPr>
        <w:t>1、投标总价为（大写）：</w:t>
      </w:r>
      <w:r>
        <w:rPr>
          <w:rFonts w:hint="eastAsia" w:ascii="宋体" w:hAnsi="宋体" w:eastAsiaTheme="minorHAnsi" w:cstheme="minorBidi"/>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 xml:space="preserve">       （其中运维费：        、1套微型水质自动监测站费：           ）</w:t>
      </w:r>
      <w:r>
        <w:rPr>
          <w:rFonts w:hint="eastAsia" w:ascii="宋体" w:hAnsi="宋体" w:eastAsiaTheme="minorHAnsi" w:cstheme="minorBidi"/>
          <w:color w:val="000000" w:themeColor="text1"/>
          <w:highlight w:val="none"/>
          <w14:textFill>
            <w14:solidFill>
              <w14:schemeClr w14:val="tx1"/>
            </w14:solidFill>
          </w14:textFill>
        </w:rPr>
        <w:t>。如我方中标，投标总价即为合同价，在履行合同约定的责任和义务的过程中不再要求调增。</w:t>
      </w:r>
    </w:p>
    <w:p w14:paraId="6380BC69">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eastAsiaTheme="minorHAnsi" w:cstheme="minorBidi"/>
          <w:color w:val="000000" w:themeColor="text1"/>
          <w:highlight w:val="none"/>
          <w14:textFill>
            <w14:solidFill>
              <w14:schemeClr w14:val="tx1"/>
            </w14:solidFill>
          </w14:textFill>
        </w:rPr>
        <w:t>2、合同履行期限：</w:t>
      </w:r>
      <w:r>
        <w:rPr>
          <w:rFonts w:hint="eastAsia" w:ascii="宋体" w:hAnsi="宋体" w:eastAsiaTheme="minorHAnsi" w:cstheme="minorBidi"/>
          <w:color w:val="000000" w:themeColor="text1"/>
          <w:highlight w:val="none"/>
          <w:u w:val="single"/>
          <w14:textFill>
            <w14:solidFill>
              <w14:schemeClr w14:val="tx1"/>
            </w14:solidFill>
          </w14:textFill>
        </w:rPr>
        <w:t>两年</w:t>
      </w:r>
      <w:r>
        <w:rPr>
          <w:rFonts w:hint="eastAsia" w:ascii="宋体" w:hAnsi="宋体" w:eastAsiaTheme="minorHAnsi" w:cstheme="minorBidi"/>
          <w:color w:val="000000" w:themeColor="text1"/>
          <w:highlight w:val="none"/>
          <w14:textFill>
            <w14:solidFill>
              <w14:schemeClr w14:val="tx1"/>
            </w14:solidFill>
          </w14:textFill>
        </w:rPr>
        <w:t>。</w:t>
      </w:r>
    </w:p>
    <w:p w14:paraId="5CC8F277">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eastAsiaTheme="minorHAnsi" w:cstheme="minorBidi"/>
          <w:color w:val="000000" w:themeColor="text1"/>
          <w:highlight w:val="none"/>
          <w14:textFill>
            <w14:solidFill>
              <w14:schemeClr w14:val="tx1"/>
            </w14:solidFill>
          </w14:textFill>
        </w:rPr>
        <w:t>3、投标有效期：</w:t>
      </w:r>
      <w:r>
        <w:rPr>
          <w:rFonts w:hint="eastAsia" w:ascii="宋体" w:hAnsi="宋体" w:eastAsiaTheme="minorHAnsi" w:cstheme="minorBidi"/>
          <w:color w:val="000000" w:themeColor="text1"/>
          <w:highlight w:val="none"/>
          <w:u w:val="single"/>
          <w14:textFill>
            <w14:solidFill>
              <w14:schemeClr w14:val="tx1"/>
            </w14:solidFill>
          </w14:textFill>
        </w:rPr>
        <w:t xml:space="preserve"> 60日历天 </w:t>
      </w:r>
      <w:r>
        <w:rPr>
          <w:rFonts w:hint="eastAsia" w:ascii="宋体" w:hAnsi="宋体" w:eastAsiaTheme="minorHAnsi" w:cstheme="minorBidi"/>
          <w:color w:val="000000" w:themeColor="text1"/>
          <w:highlight w:val="none"/>
          <w14:textFill>
            <w14:solidFill>
              <w14:schemeClr w14:val="tx1"/>
            </w14:solidFill>
          </w14:textFill>
        </w:rPr>
        <w:t>。在投标有效期内我方同意遵守本投标文件中的承诺且在此期限期满之前投标文件对我方具有法律约束力。</w:t>
      </w:r>
    </w:p>
    <w:p w14:paraId="240AB5C5">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eastAsiaTheme="minorHAnsi" w:cstheme="minorBidi"/>
          <w:color w:val="000000" w:themeColor="text1"/>
          <w:highlight w:val="none"/>
          <w14:textFill>
            <w14:solidFill>
              <w14:schemeClr w14:val="tx1"/>
            </w14:solidFill>
          </w14:textFill>
        </w:rPr>
        <w:t>4、我方已详细审查全部招标文件。我们完全理解并同意放弃对这方面有不明及误解的权力。</w:t>
      </w:r>
    </w:p>
    <w:p w14:paraId="49EC07AE">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eastAsiaTheme="minorHAnsi" w:cstheme="minorBidi"/>
          <w:color w:val="000000" w:themeColor="text1"/>
          <w:highlight w:val="none"/>
          <w14:textFill>
            <w14:solidFill>
              <w14:schemeClr w14:val="tx1"/>
            </w14:solidFill>
          </w14:textFill>
        </w:rPr>
        <w:t>5、我方投标文件中做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p>
    <w:p w14:paraId="7EEF7221">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p>
    <w:p w14:paraId="42FA469D">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w:t>
      </w:r>
      <w:r>
        <w:rPr>
          <w:rFonts w:hint="eastAsia" w:ascii="宋体" w:hAnsi="宋体" w:eastAsiaTheme="minorHAnsi" w:cstheme="minorBidi"/>
          <w:color w:val="000000" w:themeColor="text1"/>
          <w:highlight w:val="none"/>
          <w14:textFill>
            <w14:solidFill>
              <w14:schemeClr w14:val="tx1"/>
            </w14:solidFill>
          </w14:textFill>
        </w:rPr>
        <w:t>标人名称(盖投标人公章)：</w:t>
      </w:r>
    </w:p>
    <w:p w14:paraId="1673BACC">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法</w:t>
      </w:r>
      <w:r>
        <w:rPr>
          <w:rFonts w:hint="eastAsia" w:ascii="宋体" w:hAnsi="宋体" w:eastAsiaTheme="minorHAnsi" w:cstheme="minorBidi"/>
          <w:color w:val="000000" w:themeColor="text1"/>
          <w:highlight w:val="none"/>
          <w14:textFill>
            <w14:solidFill>
              <w14:schemeClr w14:val="tx1"/>
            </w14:solidFill>
          </w14:textFill>
        </w:rPr>
        <w:t>定代表人 (签字或签章)：</w:t>
      </w:r>
    </w:p>
    <w:p w14:paraId="70D1DBB4">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日</w:t>
      </w:r>
      <w:r>
        <w:rPr>
          <w:rFonts w:hint="eastAsia" w:ascii="宋体" w:hAnsi="宋体" w:eastAsiaTheme="minorHAnsi" w:cstheme="minorBidi"/>
          <w:color w:val="000000" w:themeColor="text1"/>
          <w:highlight w:val="none"/>
          <w14:textFill>
            <w14:solidFill>
              <w14:schemeClr w14:val="tx1"/>
            </w14:solidFill>
          </w14:textFill>
        </w:rPr>
        <w:t>期：   年  月   日</w:t>
      </w:r>
    </w:p>
    <w:p w14:paraId="3DE6800D">
      <w:pPr>
        <w:widowControl/>
        <w:topLinePunct/>
        <w:spacing w:after="200" w:line="360" w:lineRule="auto"/>
        <w:ind w:firstLine="220" w:firstLineChars="0"/>
        <w:jc w:val="left"/>
        <w:rPr>
          <w:rFonts w:ascii="宋体" w:hAnsi="宋体" w:eastAsiaTheme="minorHAnsi" w:cstheme="minorBidi"/>
          <w:color w:val="000000" w:themeColor="text1"/>
          <w:sz w:val="22"/>
          <w:szCs w:val="21"/>
          <w:highlight w:val="none"/>
          <w14:textFill>
            <w14:solidFill>
              <w14:schemeClr w14:val="tx1"/>
            </w14:solidFill>
          </w14:textFill>
        </w:rPr>
      </w:pPr>
      <w:r>
        <w:rPr>
          <w:rFonts w:hint="eastAsia" w:ascii="宋体" w:hAnsi="宋体" w:eastAsiaTheme="minorHAnsi" w:cstheme="minorBidi"/>
          <w:color w:val="000000" w:themeColor="text1"/>
          <w:sz w:val="22"/>
          <w:szCs w:val="21"/>
          <w:highlight w:val="none"/>
          <w14:textFill>
            <w14:solidFill>
              <w14:schemeClr w14:val="tx1"/>
            </w14:solidFill>
          </w14:textFill>
        </w:rPr>
        <w:br w:type="page"/>
      </w:r>
    </w:p>
    <w:p w14:paraId="4ECB4FB5">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w:t>
      </w:r>
      <w:r>
        <w:rPr>
          <w:rFonts w:hint="eastAsia" w:ascii="宋体" w:hAnsi="宋体" w:eastAsiaTheme="minorHAnsi" w:cstheme="minorBidi"/>
          <w:color w:val="000000" w:themeColor="text1"/>
          <w:highlight w:val="none"/>
          <w14:textFill>
            <w14:solidFill>
              <w14:schemeClr w14:val="tx1"/>
            </w14:solidFill>
          </w14:textFill>
        </w:rPr>
        <w:t>标报价明细表及分析说明（格式自拟）</w:t>
      </w:r>
    </w:p>
    <w:p w14:paraId="68BDBC8D">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备</w:t>
      </w:r>
      <w:r>
        <w:rPr>
          <w:rFonts w:hint="eastAsia" w:ascii="宋体" w:hAnsi="宋体" w:eastAsiaTheme="minorHAnsi" w:cstheme="minorBidi"/>
          <w:color w:val="000000" w:themeColor="text1"/>
          <w:highlight w:val="none"/>
          <w14:textFill>
            <w14:solidFill>
              <w14:schemeClr w14:val="tx1"/>
            </w14:solidFill>
          </w14:textFill>
        </w:rPr>
        <w:t>注：报价清单仅供参考，供应商可根据自身投标方案进行调整。</w:t>
      </w:r>
    </w:p>
    <w:p w14:paraId="51F75958">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p>
    <w:p w14:paraId="192B62EE">
      <w:pPr>
        <w:widowControl/>
        <w:topLinePunct/>
        <w:spacing w:after="200" w:line="360" w:lineRule="auto"/>
        <w:ind w:firstLine="220" w:firstLineChars="0"/>
        <w:jc w:val="right"/>
        <w:rPr>
          <w:rFonts w:ascii="宋体" w:hAnsi="宋体" w:eastAsiaTheme="minorHAnsi" w:cstheme="minorBidi"/>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w:t>
      </w:r>
      <w:r>
        <w:rPr>
          <w:rFonts w:hint="eastAsia" w:ascii="宋体" w:hAnsi="宋体" w:eastAsiaTheme="minorHAnsi" w:cstheme="minorBidi"/>
          <w:color w:val="000000" w:themeColor="text1"/>
          <w:highlight w:val="none"/>
          <w14:textFill>
            <w14:solidFill>
              <w14:schemeClr w14:val="tx1"/>
            </w14:solidFill>
          </w14:textFill>
        </w:rPr>
        <w:t>标人名称(盖投标人公章)：</w:t>
      </w:r>
    </w:p>
    <w:p w14:paraId="307F15C2">
      <w:pPr>
        <w:widowControl/>
        <w:topLinePunct/>
        <w:spacing w:after="200" w:line="360" w:lineRule="auto"/>
        <w:ind w:firstLine="220" w:firstLineChars="0"/>
        <w:jc w:val="right"/>
        <w:rPr>
          <w:rFonts w:ascii="宋体" w:hAnsi="宋体" w:eastAsiaTheme="minorHAnsi" w:cstheme="minorBidi"/>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法</w:t>
      </w:r>
      <w:r>
        <w:rPr>
          <w:rFonts w:hint="eastAsia" w:ascii="宋体" w:hAnsi="宋体" w:eastAsiaTheme="minorHAnsi" w:cstheme="minorBidi"/>
          <w:color w:val="000000" w:themeColor="text1"/>
          <w:highlight w:val="none"/>
          <w14:textFill>
            <w14:solidFill>
              <w14:schemeClr w14:val="tx1"/>
            </w14:solidFill>
          </w14:textFill>
        </w:rPr>
        <w:t>定代表人 (签字或签章)：</w:t>
      </w:r>
    </w:p>
    <w:p w14:paraId="16729064">
      <w:pPr>
        <w:widowControl/>
        <w:topLinePunct/>
        <w:spacing w:after="200" w:line="360" w:lineRule="auto"/>
        <w:ind w:firstLine="220" w:firstLineChars="0"/>
        <w:jc w:val="right"/>
        <w:rPr>
          <w:rFonts w:ascii="宋体" w:hAnsi="宋体" w:eastAsiaTheme="minorHAnsi" w:cstheme="minorBidi"/>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日</w:t>
      </w:r>
      <w:r>
        <w:rPr>
          <w:rFonts w:hint="eastAsia" w:ascii="宋体" w:hAnsi="宋体" w:eastAsiaTheme="minorHAnsi" w:cstheme="minorBidi"/>
          <w:color w:val="000000" w:themeColor="text1"/>
          <w:highlight w:val="none"/>
          <w14:textFill>
            <w14:solidFill>
              <w14:schemeClr w14:val="tx1"/>
            </w14:solidFill>
          </w14:textFill>
        </w:rPr>
        <w:t>期：   年  月   日</w:t>
      </w:r>
    </w:p>
    <w:p w14:paraId="441A08CC">
      <w:pPr>
        <w:rPr>
          <w:color w:val="000000" w:themeColor="text1"/>
          <w:highlight w:val="none"/>
          <w14:textFill>
            <w14:solidFill>
              <w14:schemeClr w14:val="tx1"/>
            </w14:solidFill>
          </w14:textFill>
        </w:rPr>
      </w:pPr>
    </w:p>
    <w:p w14:paraId="35D043FD">
      <w:pPr>
        <w:widowControl/>
        <w:adjustRightInd/>
        <w:snapToGrid/>
        <w:spacing w:after="200" w:line="360" w:lineRule="auto"/>
        <w:ind w:firstLine="0" w:firstLineChars="0"/>
        <w:jc w:val="left"/>
        <w:rPr>
          <w:rFonts w:ascii="宋体" w:hAnsi="宋体" w:eastAsiaTheme="minorHAnsi" w:cstheme="minorBidi"/>
          <w:bCs/>
          <w:color w:val="000000" w:themeColor="text1"/>
          <w:sz w:val="22"/>
          <w:szCs w:val="22"/>
          <w:highlight w:val="none"/>
          <w14:textFill>
            <w14:solidFill>
              <w14:schemeClr w14:val="tx1"/>
            </w14:solidFill>
          </w14:textFill>
        </w:rPr>
      </w:pPr>
      <w:r>
        <w:rPr>
          <w:color w:val="000000" w:themeColor="text1"/>
          <w:sz w:val="28"/>
          <w:szCs w:val="28"/>
          <w:highlight w:val="none"/>
          <w14:textFill>
            <w14:solidFill>
              <w14:schemeClr w14:val="tx1"/>
            </w14:solidFill>
          </w14:textFill>
        </w:rPr>
        <w:br w:type="page"/>
      </w:r>
      <w:r>
        <w:rPr>
          <w:rFonts w:hint="eastAsia" w:ascii="宋体" w:hAnsi="宋体" w:eastAsiaTheme="minorHAnsi" w:cstheme="minorBidi"/>
          <w:bCs/>
          <w:color w:val="000000" w:themeColor="text1"/>
          <w:highlight w:val="none"/>
          <w14:textFill>
            <w14:solidFill>
              <w14:schemeClr w14:val="tx1"/>
            </w14:solidFill>
          </w14:textFill>
        </w:rPr>
        <w:t>3.4投标人资格条件证明文件</w:t>
      </w:r>
    </w:p>
    <w:p w14:paraId="11CD1E80">
      <w:pPr>
        <w:widowControl/>
        <w:adjustRightInd/>
        <w:snapToGrid/>
        <w:spacing w:after="200" w:line="360" w:lineRule="auto"/>
        <w:jc w:val="left"/>
        <w:rPr>
          <w:rFonts w:ascii="宋体" w:hAnsi="宋体" w:eastAsiaTheme="minorHAnsi" w:cstheme="minorBidi"/>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w:t>
      </w:r>
      <w:r>
        <w:rPr>
          <w:rFonts w:hint="eastAsia" w:ascii="宋体" w:hAnsi="宋体" w:eastAsiaTheme="minorHAnsi" w:cstheme="minorBidi"/>
          <w:bCs/>
          <w:color w:val="000000" w:themeColor="text1"/>
          <w:highlight w:val="none"/>
          <w14:textFill>
            <w14:solidFill>
              <w14:schemeClr w14:val="tx1"/>
            </w14:solidFill>
          </w14:textFill>
        </w:rPr>
        <w:t>1）投标人基本资格条件承诺函</w:t>
      </w:r>
    </w:p>
    <w:p w14:paraId="0517C2F6">
      <w:pPr>
        <w:widowControl/>
        <w:adjustRightInd/>
        <w:snapToGrid/>
        <w:spacing w:after="200" w:line="360" w:lineRule="auto"/>
        <w:ind w:firstLine="840" w:firstLineChars="350"/>
        <w:jc w:val="left"/>
        <w:rPr>
          <w:rFonts w:ascii="宋体" w:hAnsi="宋体" w:eastAsiaTheme="minorHAnsi" w:cstheme="minorBidi"/>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投</w:t>
      </w:r>
      <w:r>
        <w:rPr>
          <w:rFonts w:hint="eastAsia" w:ascii="宋体" w:hAnsi="宋体" w:eastAsiaTheme="minorHAnsi" w:cstheme="minorBidi"/>
          <w:bCs/>
          <w:color w:val="000000" w:themeColor="text1"/>
          <w:highlight w:val="none"/>
          <w14:textFill>
            <w14:solidFill>
              <w14:schemeClr w14:val="tx1"/>
            </w14:solidFill>
          </w14:textFill>
        </w:rPr>
        <w:t>标人基本资格条件承诺函</w:t>
      </w:r>
    </w:p>
    <w:p w14:paraId="7B9EFC27">
      <w:pPr>
        <w:widowControl/>
        <w:adjustRightInd/>
        <w:snapToGrid/>
        <w:spacing w:after="200" w:line="360" w:lineRule="auto"/>
        <w:jc w:val="left"/>
        <w:rPr>
          <w:rFonts w:ascii="宋体" w:hAnsi="宋体" w:eastAsiaTheme="minorHAnsi" w:cstheme="minorBidi"/>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一</w:t>
      </w:r>
      <w:r>
        <w:rPr>
          <w:rFonts w:hint="eastAsia" w:ascii="宋体" w:hAnsi="宋体" w:eastAsiaTheme="minorHAnsi" w:cstheme="minorBidi"/>
          <w:bCs/>
          <w:color w:val="000000" w:themeColor="text1"/>
          <w:highlight w:val="none"/>
          <w14:textFill>
            <w14:solidFill>
              <w14:schemeClr w14:val="tx1"/>
            </w14:solidFill>
          </w14:textFill>
        </w:rPr>
        <w:t>、按照《政府采购法》第二十二条规定的投标人基本资格条件，我公司郑重承诺如下：</w:t>
      </w:r>
    </w:p>
    <w:p w14:paraId="1D3C6B7E">
      <w:pPr>
        <w:widowControl/>
        <w:adjustRightInd/>
        <w:snapToGrid/>
        <w:spacing w:after="200" w:line="360" w:lineRule="auto"/>
        <w:ind w:firstLine="840" w:firstLineChars="350"/>
        <w:jc w:val="left"/>
        <w:rPr>
          <w:rFonts w:ascii="宋体" w:hAnsi="宋体" w:eastAsiaTheme="minorHAnsi" w:cstheme="minorBidi"/>
          <w:bCs/>
          <w:color w:val="000000" w:themeColor="text1"/>
          <w:highlight w:val="none"/>
          <w14:textFill>
            <w14:solidFill>
              <w14:schemeClr w14:val="tx1"/>
            </w14:solidFill>
          </w14:textFill>
        </w:rPr>
      </w:pPr>
      <w:r>
        <w:rPr>
          <w:rFonts w:hint="eastAsia" w:ascii="宋体" w:hAnsi="宋体" w:eastAsiaTheme="minorHAnsi" w:cstheme="minorBidi"/>
          <w:bCs/>
          <w:color w:val="000000" w:themeColor="text1"/>
          <w:highlight w:val="none"/>
          <w14:textFill>
            <w14:solidFill>
              <w14:schemeClr w14:val="tx1"/>
            </w14:solidFill>
          </w14:textFill>
        </w:rPr>
        <w:t>1.我公司具有良好的商业信誉和健全的财务制度；</w:t>
      </w:r>
    </w:p>
    <w:p w14:paraId="31F4760C">
      <w:pPr>
        <w:widowControl/>
        <w:adjustRightInd/>
        <w:snapToGrid/>
        <w:spacing w:after="200" w:line="360" w:lineRule="auto"/>
        <w:ind w:firstLine="840" w:firstLineChars="350"/>
        <w:jc w:val="left"/>
        <w:rPr>
          <w:rFonts w:ascii="宋体" w:hAnsi="宋体" w:eastAsiaTheme="minorHAnsi" w:cstheme="minorBidi"/>
          <w:bCs/>
          <w:color w:val="000000" w:themeColor="text1"/>
          <w:highlight w:val="none"/>
          <w14:textFill>
            <w14:solidFill>
              <w14:schemeClr w14:val="tx1"/>
            </w14:solidFill>
          </w14:textFill>
        </w:rPr>
      </w:pPr>
      <w:r>
        <w:rPr>
          <w:rFonts w:hint="eastAsia" w:ascii="宋体" w:hAnsi="宋体" w:eastAsiaTheme="minorHAnsi" w:cstheme="minorBidi"/>
          <w:bCs/>
          <w:color w:val="000000" w:themeColor="text1"/>
          <w:highlight w:val="none"/>
          <w14:textFill>
            <w14:solidFill>
              <w14:schemeClr w14:val="tx1"/>
            </w14:solidFill>
          </w14:textFill>
        </w:rPr>
        <w:t>2.我公司具有履行合同所必须的设备和专业技术能力；</w:t>
      </w:r>
    </w:p>
    <w:p w14:paraId="0A6189D2">
      <w:pPr>
        <w:widowControl/>
        <w:adjustRightInd/>
        <w:snapToGrid/>
        <w:spacing w:after="200" w:line="360" w:lineRule="auto"/>
        <w:ind w:firstLine="840" w:firstLineChars="350"/>
        <w:jc w:val="left"/>
        <w:rPr>
          <w:rFonts w:ascii="宋体" w:hAnsi="宋体" w:eastAsiaTheme="minorHAnsi" w:cstheme="minorBidi"/>
          <w:bCs/>
          <w:color w:val="000000" w:themeColor="text1"/>
          <w:highlight w:val="none"/>
          <w14:textFill>
            <w14:solidFill>
              <w14:schemeClr w14:val="tx1"/>
            </w14:solidFill>
          </w14:textFill>
        </w:rPr>
      </w:pPr>
      <w:r>
        <w:rPr>
          <w:rFonts w:hint="eastAsia" w:ascii="宋体" w:hAnsi="宋体" w:eastAsiaTheme="minorHAnsi" w:cstheme="minorBidi"/>
          <w:bCs/>
          <w:color w:val="000000" w:themeColor="text1"/>
          <w:highlight w:val="none"/>
          <w14:textFill>
            <w14:solidFill>
              <w14:schemeClr w14:val="tx1"/>
            </w14:solidFill>
          </w14:textFill>
        </w:rPr>
        <w:t>3.我公司具有依法缴纳税收和社会保障资金的良好记录；</w:t>
      </w:r>
    </w:p>
    <w:p w14:paraId="5AF10080">
      <w:pPr>
        <w:widowControl/>
        <w:adjustRightInd/>
        <w:snapToGrid/>
        <w:spacing w:after="200" w:line="360" w:lineRule="auto"/>
        <w:ind w:firstLine="840" w:firstLineChars="350"/>
        <w:jc w:val="left"/>
        <w:rPr>
          <w:rFonts w:ascii="宋体" w:hAnsi="宋体" w:eastAsiaTheme="minorHAnsi" w:cstheme="minorBidi"/>
          <w:bCs/>
          <w:color w:val="000000" w:themeColor="text1"/>
          <w:highlight w:val="none"/>
          <w14:textFill>
            <w14:solidFill>
              <w14:schemeClr w14:val="tx1"/>
            </w14:solidFill>
          </w14:textFill>
        </w:rPr>
      </w:pPr>
      <w:r>
        <w:rPr>
          <w:rFonts w:hint="eastAsia" w:ascii="宋体" w:hAnsi="宋体" w:eastAsiaTheme="minorHAnsi" w:cstheme="minorBidi"/>
          <w:bCs/>
          <w:color w:val="000000" w:themeColor="text1"/>
          <w:highlight w:val="none"/>
          <w14:textFill>
            <w14:solidFill>
              <w14:schemeClr w14:val="tx1"/>
            </w14:solidFill>
          </w14:textFill>
        </w:rPr>
        <w:t>4.我公司参加政府采购活动前三年内，在经营活动中没有重大违法记录；</w:t>
      </w:r>
    </w:p>
    <w:p w14:paraId="6AAD05B7">
      <w:pPr>
        <w:widowControl/>
        <w:adjustRightInd/>
        <w:snapToGrid/>
        <w:spacing w:after="200" w:line="360" w:lineRule="auto"/>
        <w:ind w:firstLine="840" w:firstLineChars="350"/>
        <w:jc w:val="left"/>
        <w:rPr>
          <w:rFonts w:ascii="宋体" w:hAnsi="宋体" w:eastAsiaTheme="minorHAnsi" w:cstheme="minorBidi"/>
          <w:bCs/>
          <w:color w:val="000000" w:themeColor="text1"/>
          <w:highlight w:val="none"/>
          <w14:textFill>
            <w14:solidFill>
              <w14:schemeClr w14:val="tx1"/>
            </w14:solidFill>
          </w14:textFill>
        </w:rPr>
      </w:pPr>
      <w:r>
        <w:rPr>
          <w:rFonts w:hint="eastAsia" w:ascii="宋体" w:hAnsi="宋体" w:eastAsiaTheme="minorHAnsi" w:cstheme="minorBidi"/>
          <w:bCs/>
          <w:color w:val="000000" w:themeColor="text1"/>
          <w:highlight w:val="none"/>
          <w14:textFill>
            <w14:solidFill>
              <w14:schemeClr w14:val="tx1"/>
            </w14:solidFill>
          </w14:textFill>
        </w:rPr>
        <w:t>5.我公司未列入在信用中国网站（www.creditchina.gov.cn）“失信被执行人”、“重大税收违法案件当事人名单”中，也未列入中国政府采购网（www.ccgp.gov.cn）“政府采购严重违法失信行为记录名单”中。</w:t>
      </w:r>
    </w:p>
    <w:p w14:paraId="0AC127CF">
      <w:pPr>
        <w:widowControl/>
        <w:adjustRightInd/>
        <w:snapToGrid/>
        <w:spacing w:after="200" w:line="360" w:lineRule="auto"/>
        <w:jc w:val="left"/>
        <w:rPr>
          <w:rFonts w:ascii="宋体" w:hAnsi="宋体" w:eastAsiaTheme="minorHAnsi" w:cstheme="minorBidi"/>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二</w:t>
      </w:r>
      <w:r>
        <w:rPr>
          <w:rFonts w:hint="eastAsia" w:ascii="宋体" w:hAnsi="宋体" w:eastAsiaTheme="minorHAnsi" w:cstheme="minorBidi"/>
          <w:bCs/>
          <w:color w:val="000000" w:themeColor="text1"/>
          <w:highlight w:val="none"/>
          <w14:textFill>
            <w14:solidFill>
              <w14:schemeClr w14:val="tx1"/>
            </w14:solidFill>
          </w14:textFill>
        </w:rPr>
        <w:t>、我公司承诺：在本次投标过程中，我公司不存在本项目招标文件第二章第1.4.3条所列情形之一。</w:t>
      </w:r>
    </w:p>
    <w:p w14:paraId="2F20DA03">
      <w:pPr>
        <w:widowControl/>
        <w:adjustRightInd/>
        <w:snapToGrid/>
        <w:spacing w:after="200" w:line="360" w:lineRule="auto"/>
        <w:ind w:firstLine="770" w:firstLineChars="350"/>
        <w:jc w:val="left"/>
        <w:rPr>
          <w:rFonts w:ascii="宋体" w:hAnsi="宋体" w:eastAsiaTheme="minorHAnsi" w:cstheme="minorBidi"/>
          <w:bCs/>
          <w:color w:val="000000" w:themeColor="text1"/>
          <w:sz w:val="22"/>
          <w:szCs w:val="22"/>
          <w:highlight w:val="none"/>
          <w14:textFill>
            <w14:solidFill>
              <w14:schemeClr w14:val="tx1"/>
            </w14:solidFill>
          </w14:textFill>
        </w:rPr>
      </w:pPr>
    </w:p>
    <w:p w14:paraId="1A586635">
      <w:pPr>
        <w:widowControl/>
        <w:adjustRightInd/>
        <w:snapToGrid/>
        <w:spacing w:after="200" w:line="360" w:lineRule="auto"/>
        <w:ind w:firstLine="840" w:firstLineChars="350"/>
        <w:jc w:val="right"/>
        <w:rPr>
          <w:rFonts w:ascii="宋体" w:hAnsi="宋体" w:eastAsiaTheme="minorHAnsi" w:cstheme="minorBidi"/>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投</w:t>
      </w:r>
      <w:r>
        <w:rPr>
          <w:rFonts w:hint="eastAsia" w:ascii="宋体" w:hAnsi="宋体" w:eastAsiaTheme="minorHAnsi" w:cstheme="minorBidi"/>
          <w:bCs/>
          <w:color w:val="000000" w:themeColor="text1"/>
          <w:highlight w:val="none"/>
          <w14:textFill>
            <w14:solidFill>
              <w14:schemeClr w14:val="tx1"/>
            </w14:solidFill>
          </w14:textFill>
        </w:rPr>
        <w:t>标人名称(盖投标人公章)：</w:t>
      </w:r>
    </w:p>
    <w:p w14:paraId="4C55ACCF">
      <w:pPr>
        <w:widowControl/>
        <w:adjustRightInd/>
        <w:snapToGrid/>
        <w:spacing w:after="200" w:line="360" w:lineRule="auto"/>
        <w:ind w:firstLine="840" w:firstLineChars="350"/>
        <w:jc w:val="right"/>
        <w:rPr>
          <w:rFonts w:ascii="宋体" w:hAnsi="宋体" w:eastAsiaTheme="minorHAnsi" w:cstheme="minorBidi"/>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法</w:t>
      </w:r>
      <w:r>
        <w:rPr>
          <w:rFonts w:hint="eastAsia" w:ascii="宋体" w:hAnsi="宋体" w:eastAsiaTheme="minorHAnsi" w:cstheme="minorBidi"/>
          <w:bCs/>
          <w:color w:val="000000" w:themeColor="text1"/>
          <w:highlight w:val="none"/>
          <w14:textFill>
            <w14:solidFill>
              <w14:schemeClr w14:val="tx1"/>
            </w14:solidFill>
          </w14:textFill>
        </w:rPr>
        <w:t>定代表人 (签字或签章)：</w:t>
      </w:r>
    </w:p>
    <w:p w14:paraId="0DD36BD3">
      <w:pPr>
        <w:widowControl/>
        <w:adjustRightInd/>
        <w:snapToGrid/>
        <w:spacing w:after="200" w:line="360" w:lineRule="auto"/>
        <w:ind w:firstLine="840" w:firstLineChars="350"/>
        <w:jc w:val="right"/>
        <w:rPr>
          <w:rFonts w:ascii="宋体" w:hAnsi="宋体" w:eastAsiaTheme="minorHAnsi" w:cstheme="minorBidi"/>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日</w:t>
      </w:r>
      <w:r>
        <w:rPr>
          <w:rFonts w:hint="eastAsia" w:ascii="宋体" w:hAnsi="宋体" w:eastAsiaTheme="minorHAnsi" w:cstheme="minorBidi"/>
          <w:bCs/>
          <w:color w:val="000000" w:themeColor="text1"/>
          <w:highlight w:val="none"/>
          <w14:textFill>
            <w14:solidFill>
              <w14:schemeClr w14:val="tx1"/>
            </w14:solidFill>
          </w14:textFill>
        </w:rPr>
        <w:t>期：   年  月   日</w:t>
      </w:r>
    </w:p>
    <w:p w14:paraId="02DC4357">
      <w:pPr>
        <w:widowControl/>
        <w:adjustRightInd/>
        <w:snapToGrid/>
        <w:spacing w:after="200" w:line="360" w:lineRule="auto"/>
        <w:ind w:firstLine="840" w:firstLineChars="350"/>
        <w:jc w:val="left"/>
        <w:rPr>
          <w:rFonts w:ascii="宋体" w:hAnsi="宋体" w:eastAsiaTheme="minorHAnsi" w:cstheme="minorBidi"/>
          <w:bCs/>
          <w:color w:val="000000" w:themeColor="text1"/>
          <w:highlight w:val="none"/>
          <w14:textFill>
            <w14:solidFill>
              <w14:schemeClr w14:val="tx1"/>
            </w14:solidFill>
          </w14:textFill>
        </w:rPr>
      </w:pPr>
    </w:p>
    <w:p w14:paraId="5710113C">
      <w:pPr>
        <w:widowControl/>
        <w:adjustRightInd/>
        <w:snapToGrid/>
        <w:spacing w:after="200" w:line="360" w:lineRule="auto"/>
        <w:ind w:firstLine="770" w:firstLineChars="350"/>
        <w:jc w:val="left"/>
        <w:rPr>
          <w:rFonts w:ascii="宋体" w:hAnsi="宋体" w:eastAsiaTheme="minorHAnsi" w:cstheme="minorBidi"/>
          <w:bCs/>
          <w:color w:val="000000" w:themeColor="text1"/>
          <w:sz w:val="22"/>
          <w:szCs w:val="22"/>
          <w:highlight w:val="none"/>
          <w14:textFill>
            <w14:solidFill>
              <w14:schemeClr w14:val="tx1"/>
            </w14:solidFill>
          </w14:textFill>
        </w:rPr>
      </w:pPr>
    </w:p>
    <w:p w14:paraId="1E720038">
      <w:pPr>
        <w:widowControl/>
        <w:adjustRightInd/>
        <w:snapToGrid/>
        <w:spacing w:after="200" w:line="360" w:lineRule="auto"/>
        <w:ind w:firstLine="770" w:firstLineChars="350"/>
        <w:jc w:val="left"/>
        <w:rPr>
          <w:rFonts w:ascii="宋体" w:hAnsi="宋体" w:eastAsiaTheme="minorHAnsi" w:cstheme="minorBidi"/>
          <w:bCs/>
          <w:color w:val="000000" w:themeColor="text1"/>
          <w:sz w:val="22"/>
          <w:szCs w:val="22"/>
          <w:highlight w:val="none"/>
          <w14:textFill>
            <w14:solidFill>
              <w14:schemeClr w14:val="tx1"/>
            </w14:solidFill>
          </w14:textFill>
        </w:rPr>
      </w:pPr>
    </w:p>
    <w:p w14:paraId="167F3186">
      <w:pPr>
        <w:widowControl/>
        <w:adjustRightInd/>
        <w:snapToGrid/>
        <w:spacing w:after="200" w:line="360" w:lineRule="auto"/>
        <w:ind w:firstLine="770" w:firstLineChars="350"/>
        <w:jc w:val="left"/>
        <w:rPr>
          <w:rFonts w:ascii="宋体" w:hAnsi="宋体" w:eastAsiaTheme="minorHAnsi" w:cstheme="minorBidi"/>
          <w:bCs/>
          <w:color w:val="000000" w:themeColor="text1"/>
          <w:sz w:val="22"/>
          <w:szCs w:val="22"/>
          <w:highlight w:val="none"/>
          <w14:textFill>
            <w14:solidFill>
              <w14:schemeClr w14:val="tx1"/>
            </w14:solidFill>
          </w14:textFill>
        </w:rPr>
      </w:pPr>
    </w:p>
    <w:p w14:paraId="289B989B">
      <w:pPr>
        <w:widowControl/>
        <w:adjustRightInd/>
        <w:snapToGrid/>
        <w:spacing w:after="200" w:line="360" w:lineRule="auto"/>
        <w:ind w:firstLine="0" w:firstLineChars="0"/>
        <w:jc w:val="left"/>
        <w:rPr>
          <w:rFonts w:ascii="宋体" w:hAnsi="宋体" w:eastAsiaTheme="minorHAnsi" w:cstheme="minorBidi"/>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w:t>
      </w:r>
      <w:r>
        <w:rPr>
          <w:rFonts w:hint="eastAsia" w:ascii="宋体" w:hAnsi="宋体" w:eastAsiaTheme="minorHAnsi" w:cstheme="minorBidi"/>
          <w:bCs/>
          <w:color w:val="000000" w:themeColor="text1"/>
          <w:highlight w:val="none"/>
          <w14:textFill>
            <w14:solidFill>
              <w14:schemeClr w14:val="tx1"/>
            </w14:solidFill>
          </w14:textFill>
        </w:rPr>
        <w:t>2）招标文件要求的其他资格条件及证明材料</w:t>
      </w:r>
    </w:p>
    <w:p w14:paraId="743A2B40">
      <w:pPr>
        <w:widowControl/>
        <w:adjustRightInd/>
        <w:snapToGrid/>
        <w:spacing w:after="200" w:line="360" w:lineRule="auto"/>
        <w:ind w:firstLine="840" w:firstLineChars="350"/>
        <w:jc w:val="left"/>
        <w:rPr>
          <w:rFonts w:ascii="宋体" w:hAnsi="宋体" w:eastAsiaTheme="minorHAnsi" w:cstheme="minorBidi"/>
          <w:bCs/>
          <w:color w:val="000000" w:themeColor="text1"/>
          <w:highlight w:val="none"/>
          <w14:textFill>
            <w14:solidFill>
              <w14:schemeClr w14:val="tx1"/>
            </w14:solidFill>
          </w14:textFill>
        </w:rPr>
      </w:pPr>
      <w:r>
        <w:rPr>
          <w:rFonts w:hint="eastAsia" w:ascii="宋体" w:hAnsi="宋体" w:eastAsiaTheme="minorHAnsi" w:cstheme="minorBidi"/>
          <w:bCs/>
          <w:color w:val="000000" w:themeColor="text1"/>
          <w:highlight w:val="none"/>
          <w14:textFill>
            <w14:solidFill>
              <w14:schemeClr w14:val="tx1"/>
            </w14:solidFill>
          </w14:textFill>
        </w:rPr>
        <w:t>1.具有有效的营业执照等（附证书的扫描件）；</w:t>
      </w:r>
    </w:p>
    <w:p w14:paraId="769A383F">
      <w:pPr>
        <w:widowControl/>
        <w:adjustRightInd/>
        <w:snapToGrid/>
        <w:spacing w:after="200" w:line="360" w:lineRule="auto"/>
        <w:ind w:firstLine="840" w:firstLineChars="350"/>
        <w:jc w:val="left"/>
        <w:rPr>
          <w:rFonts w:ascii="宋体" w:hAnsi="宋体" w:eastAsiaTheme="minorHAnsi" w:cstheme="minorBidi"/>
          <w:bCs/>
          <w:color w:val="000000" w:themeColor="text1"/>
          <w:highlight w:val="none"/>
          <w14:textFill>
            <w14:solidFill>
              <w14:schemeClr w14:val="tx1"/>
            </w14:solidFill>
          </w14:textFill>
        </w:rPr>
      </w:pPr>
      <w:r>
        <w:rPr>
          <w:rFonts w:hint="eastAsia" w:ascii="宋体" w:hAnsi="宋体" w:eastAsiaTheme="minorHAnsi" w:cstheme="minorBidi"/>
          <w:bCs/>
          <w:color w:val="000000" w:themeColor="text1"/>
          <w:highlight w:val="none"/>
          <w14:textFill>
            <w14:solidFill>
              <w14:schemeClr w14:val="tx1"/>
            </w14:solidFill>
          </w14:textFill>
        </w:rPr>
        <w:t>2.中小企业声明函（参考格式附后）。</w:t>
      </w:r>
    </w:p>
    <w:p w14:paraId="156CCEC9">
      <w:pPr>
        <w:widowControl/>
        <w:adjustRightInd/>
        <w:snapToGrid/>
        <w:spacing w:after="200" w:line="360" w:lineRule="auto"/>
        <w:ind w:firstLine="840" w:firstLineChars="350"/>
        <w:jc w:val="left"/>
        <w:rPr>
          <w:rFonts w:ascii="宋体" w:hAnsi="宋体" w:eastAsiaTheme="minorHAnsi" w:cstheme="minorBidi"/>
          <w:bCs/>
          <w:color w:val="000000" w:themeColor="text1"/>
          <w:highlight w:val="none"/>
          <w14:textFill>
            <w14:solidFill>
              <w14:schemeClr w14:val="tx1"/>
            </w14:solidFill>
          </w14:textFill>
        </w:rPr>
      </w:pPr>
      <w:r>
        <w:rPr>
          <w:rFonts w:hint="eastAsia" w:ascii="宋体" w:hAnsi="宋体" w:eastAsiaTheme="minorHAnsi" w:cstheme="minorBidi"/>
          <w:bCs/>
          <w:color w:val="000000" w:themeColor="text1"/>
          <w:highlight w:val="none"/>
          <w14:textFill>
            <w14:solidFill>
              <w14:schemeClr w14:val="tx1"/>
            </w14:solidFill>
          </w14:textFill>
        </w:rPr>
        <w:t>3.5联合体协议书（若有时）</w:t>
      </w:r>
    </w:p>
    <w:p w14:paraId="0A45BF47">
      <w:pPr>
        <w:widowControl/>
        <w:adjustRightInd/>
        <w:snapToGrid/>
        <w:spacing w:after="200" w:line="360" w:lineRule="auto"/>
        <w:ind w:firstLine="770" w:firstLineChars="350"/>
        <w:rPr>
          <w:rFonts w:ascii="宋体" w:hAnsi="宋体" w:eastAsiaTheme="minorHAnsi" w:cstheme="minorBidi"/>
          <w:b/>
          <w:color w:val="000000" w:themeColor="text1"/>
          <w:sz w:val="22"/>
          <w:szCs w:val="22"/>
          <w:highlight w:val="none"/>
          <w14:textFill>
            <w14:solidFill>
              <w14:schemeClr w14:val="tx1"/>
            </w14:solidFill>
          </w14:textFill>
        </w:rPr>
      </w:pPr>
    </w:p>
    <w:p w14:paraId="30C7BA7F">
      <w:pPr>
        <w:widowControl/>
        <w:adjustRightInd/>
        <w:snapToGrid/>
        <w:spacing w:after="200" w:line="360" w:lineRule="auto"/>
        <w:ind w:firstLine="770" w:firstLineChars="350"/>
        <w:rPr>
          <w:rFonts w:ascii="宋体" w:hAnsi="宋体" w:eastAsiaTheme="minorHAnsi" w:cstheme="minorBidi"/>
          <w:b/>
          <w:color w:val="000000" w:themeColor="text1"/>
          <w:sz w:val="22"/>
          <w:szCs w:val="22"/>
          <w:highlight w:val="none"/>
          <w14:textFill>
            <w14:solidFill>
              <w14:schemeClr w14:val="tx1"/>
            </w14:solidFill>
          </w14:textFill>
        </w:rPr>
      </w:pPr>
    </w:p>
    <w:p w14:paraId="794A5A59">
      <w:pPr>
        <w:widowControl/>
        <w:adjustRightInd/>
        <w:snapToGrid/>
        <w:spacing w:after="200" w:line="360" w:lineRule="auto"/>
        <w:ind w:firstLine="770" w:firstLineChars="350"/>
        <w:rPr>
          <w:rFonts w:ascii="宋体" w:hAnsi="宋体" w:eastAsiaTheme="minorHAnsi" w:cstheme="minorBidi"/>
          <w:b/>
          <w:color w:val="000000" w:themeColor="text1"/>
          <w:sz w:val="22"/>
          <w:szCs w:val="22"/>
          <w:highlight w:val="none"/>
          <w14:textFill>
            <w14:solidFill>
              <w14:schemeClr w14:val="tx1"/>
            </w14:solidFill>
          </w14:textFill>
        </w:rPr>
      </w:pPr>
    </w:p>
    <w:p w14:paraId="3478FBB9">
      <w:pPr>
        <w:widowControl/>
        <w:adjustRightInd/>
        <w:snapToGrid/>
        <w:spacing w:after="200" w:line="360" w:lineRule="auto"/>
        <w:ind w:firstLine="770" w:firstLineChars="350"/>
        <w:rPr>
          <w:rFonts w:ascii="宋体" w:hAnsi="宋体" w:eastAsiaTheme="minorHAnsi" w:cstheme="minorBidi"/>
          <w:b/>
          <w:color w:val="000000" w:themeColor="text1"/>
          <w:sz w:val="22"/>
          <w:szCs w:val="22"/>
          <w:highlight w:val="none"/>
          <w14:textFill>
            <w14:solidFill>
              <w14:schemeClr w14:val="tx1"/>
            </w14:solidFill>
          </w14:textFill>
        </w:rPr>
      </w:pPr>
    </w:p>
    <w:p w14:paraId="205DB78F">
      <w:pPr>
        <w:widowControl/>
        <w:adjustRightInd/>
        <w:snapToGrid/>
        <w:spacing w:after="200" w:line="360" w:lineRule="auto"/>
        <w:ind w:firstLine="770" w:firstLineChars="350"/>
        <w:rPr>
          <w:rFonts w:ascii="宋体" w:hAnsi="宋体" w:eastAsiaTheme="minorHAnsi" w:cstheme="minorBidi"/>
          <w:b/>
          <w:color w:val="000000" w:themeColor="text1"/>
          <w:sz w:val="22"/>
          <w:szCs w:val="22"/>
          <w:highlight w:val="none"/>
          <w14:textFill>
            <w14:solidFill>
              <w14:schemeClr w14:val="tx1"/>
            </w14:solidFill>
          </w14:textFill>
        </w:rPr>
      </w:pPr>
    </w:p>
    <w:p w14:paraId="4657AA23">
      <w:pPr>
        <w:widowControl/>
        <w:adjustRightInd/>
        <w:snapToGrid/>
        <w:spacing w:after="200" w:line="360" w:lineRule="auto"/>
        <w:ind w:firstLine="770" w:firstLineChars="350"/>
        <w:rPr>
          <w:rFonts w:ascii="宋体" w:hAnsi="宋体" w:eastAsiaTheme="minorHAnsi" w:cstheme="minorBidi"/>
          <w:b/>
          <w:color w:val="000000" w:themeColor="text1"/>
          <w:sz w:val="22"/>
          <w:szCs w:val="22"/>
          <w:highlight w:val="none"/>
          <w14:textFill>
            <w14:solidFill>
              <w14:schemeClr w14:val="tx1"/>
            </w14:solidFill>
          </w14:textFill>
        </w:rPr>
      </w:pPr>
    </w:p>
    <w:p w14:paraId="2C26DB9B">
      <w:pPr>
        <w:widowControl/>
        <w:adjustRightInd/>
        <w:snapToGrid/>
        <w:spacing w:after="200" w:line="360" w:lineRule="auto"/>
        <w:ind w:firstLine="770" w:firstLineChars="350"/>
        <w:rPr>
          <w:rFonts w:ascii="宋体" w:hAnsi="宋体" w:eastAsiaTheme="minorHAnsi" w:cstheme="minorBidi"/>
          <w:b/>
          <w:color w:val="000000" w:themeColor="text1"/>
          <w:sz w:val="22"/>
          <w:szCs w:val="22"/>
          <w:highlight w:val="none"/>
          <w14:textFill>
            <w14:solidFill>
              <w14:schemeClr w14:val="tx1"/>
            </w14:solidFill>
          </w14:textFill>
        </w:rPr>
      </w:pPr>
    </w:p>
    <w:p w14:paraId="69C38972">
      <w:pPr>
        <w:widowControl/>
        <w:adjustRightInd/>
        <w:snapToGrid/>
        <w:spacing w:after="200" w:line="360" w:lineRule="auto"/>
        <w:ind w:firstLine="770" w:firstLineChars="350"/>
        <w:rPr>
          <w:rFonts w:ascii="宋体" w:hAnsi="宋体" w:eastAsiaTheme="minorHAnsi" w:cstheme="minorBidi"/>
          <w:b/>
          <w:color w:val="000000" w:themeColor="text1"/>
          <w:sz w:val="22"/>
          <w:szCs w:val="22"/>
          <w:highlight w:val="none"/>
          <w14:textFill>
            <w14:solidFill>
              <w14:schemeClr w14:val="tx1"/>
            </w14:solidFill>
          </w14:textFill>
        </w:rPr>
      </w:pPr>
    </w:p>
    <w:p w14:paraId="0D7CC6D7">
      <w:pPr>
        <w:widowControl/>
        <w:adjustRightInd/>
        <w:snapToGrid/>
        <w:spacing w:after="200" w:line="360" w:lineRule="auto"/>
        <w:ind w:firstLine="770" w:firstLineChars="350"/>
        <w:rPr>
          <w:rFonts w:ascii="宋体" w:hAnsi="宋体" w:eastAsiaTheme="minorHAnsi" w:cstheme="minorBidi"/>
          <w:b/>
          <w:color w:val="000000" w:themeColor="text1"/>
          <w:sz w:val="22"/>
          <w:szCs w:val="22"/>
          <w:highlight w:val="none"/>
          <w14:textFill>
            <w14:solidFill>
              <w14:schemeClr w14:val="tx1"/>
            </w14:solidFill>
          </w14:textFill>
        </w:rPr>
      </w:pPr>
    </w:p>
    <w:p w14:paraId="06E4D337">
      <w:pPr>
        <w:widowControl/>
        <w:adjustRightInd/>
        <w:snapToGrid/>
        <w:spacing w:after="200" w:line="360" w:lineRule="auto"/>
        <w:ind w:firstLine="770" w:firstLineChars="350"/>
        <w:rPr>
          <w:rFonts w:ascii="宋体" w:hAnsi="宋体" w:eastAsiaTheme="minorHAnsi" w:cstheme="minorBidi"/>
          <w:b/>
          <w:color w:val="000000" w:themeColor="text1"/>
          <w:sz w:val="22"/>
          <w:szCs w:val="22"/>
          <w:highlight w:val="none"/>
          <w14:textFill>
            <w14:solidFill>
              <w14:schemeClr w14:val="tx1"/>
            </w14:solidFill>
          </w14:textFill>
        </w:rPr>
      </w:pPr>
    </w:p>
    <w:p w14:paraId="1387A5CC">
      <w:pPr>
        <w:widowControl/>
        <w:adjustRightInd/>
        <w:snapToGrid/>
        <w:spacing w:after="200" w:line="360" w:lineRule="auto"/>
        <w:ind w:firstLine="770" w:firstLineChars="350"/>
        <w:rPr>
          <w:rFonts w:ascii="宋体" w:hAnsi="宋体" w:eastAsiaTheme="minorHAnsi" w:cstheme="minorBidi"/>
          <w:b/>
          <w:color w:val="000000" w:themeColor="text1"/>
          <w:sz w:val="22"/>
          <w:szCs w:val="22"/>
          <w:highlight w:val="none"/>
          <w14:textFill>
            <w14:solidFill>
              <w14:schemeClr w14:val="tx1"/>
            </w14:solidFill>
          </w14:textFill>
        </w:rPr>
      </w:pPr>
    </w:p>
    <w:p w14:paraId="55F03B28">
      <w:pPr>
        <w:widowControl/>
        <w:adjustRightInd/>
        <w:snapToGrid/>
        <w:spacing w:after="200" w:line="360" w:lineRule="auto"/>
        <w:ind w:firstLine="770" w:firstLineChars="350"/>
        <w:rPr>
          <w:rFonts w:ascii="宋体" w:hAnsi="宋体" w:eastAsiaTheme="minorHAnsi" w:cstheme="minorBidi"/>
          <w:b/>
          <w:color w:val="000000" w:themeColor="text1"/>
          <w:sz w:val="22"/>
          <w:szCs w:val="22"/>
          <w:highlight w:val="none"/>
          <w14:textFill>
            <w14:solidFill>
              <w14:schemeClr w14:val="tx1"/>
            </w14:solidFill>
          </w14:textFill>
        </w:rPr>
      </w:pPr>
    </w:p>
    <w:p w14:paraId="7C1A4246">
      <w:pPr>
        <w:widowControl/>
        <w:adjustRightInd/>
        <w:snapToGrid/>
        <w:spacing w:after="200" w:line="360" w:lineRule="auto"/>
        <w:ind w:firstLine="770" w:firstLineChars="350"/>
        <w:rPr>
          <w:rFonts w:ascii="宋体" w:hAnsi="宋体" w:eastAsiaTheme="minorHAnsi" w:cstheme="minorBidi"/>
          <w:b/>
          <w:color w:val="000000" w:themeColor="text1"/>
          <w:sz w:val="22"/>
          <w:szCs w:val="22"/>
          <w:highlight w:val="none"/>
          <w14:textFill>
            <w14:solidFill>
              <w14:schemeClr w14:val="tx1"/>
            </w14:solidFill>
          </w14:textFill>
        </w:rPr>
      </w:pPr>
    </w:p>
    <w:p w14:paraId="166D61FB">
      <w:pPr>
        <w:widowControl/>
        <w:adjustRightInd/>
        <w:snapToGrid/>
        <w:spacing w:after="200" w:line="360" w:lineRule="auto"/>
        <w:ind w:firstLine="843" w:firstLineChars="350"/>
        <w:rPr>
          <w:rFonts w:ascii="宋体" w:hAnsi="宋体" w:eastAsiaTheme="minorHAnsi" w:cstheme="minorBidi"/>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联</w:t>
      </w:r>
      <w:r>
        <w:rPr>
          <w:rFonts w:hint="eastAsia" w:ascii="宋体" w:hAnsi="宋体" w:eastAsiaTheme="minorHAnsi" w:cstheme="minorBidi"/>
          <w:b/>
          <w:color w:val="000000" w:themeColor="text1"/>
          <w:highlight w:val="none"/>
          <w14:textFill>
            <w14:solidFill>
              <w14:schemeClr w14:val="tx1"/>
            </w14:solidFill>
          </w14:textFill>
        </w:rPr>
        <w:t>合体协议书</w:t>
      </w:r>
    </w:p>
    <w:p w14:paraId="7D54990C">
      <w:pPr>
        <w:widowControl/>
        <w:adjustRightInd/>
        <w:snapToGrid/>
        <w:spacing w:after="200" w:line="360" w:lineRule="auto"/>
        <w:ind w:firstLine="840" w:firstLineChars="350"/>
        <w:jc w:val="left"/>
        <w:rPr>
          <w:rFonts w:ascii="宋体" w:hAnsi="宋体" w:eastAsiaTheme="minorHAnsi" w:cstheme="minorBidi"/>
          <w:bCs/>
          <w:color w:val="000000" w:themeColor="text1"/>
          <w:highlight w:val="none"/>
          <w14:textFill>
            <w14:solidFill>
              <w14:schemeClr w14:val="tx1"/>
            </w14:solidFill>
          </w14:textFill>
        </w:rPr>
      </w:pPr>
      <w:r>
        <w:rPr>
          <w:rFonts w:hint="eastAsia" w:ascii="宋体" w:hAnsi="宋体" w:eastAsiaTheme="minorHAnsi" w:cstheme="minorBidi"/>
          <w:bCs/>
          <w:color w:val="000000" w:themeColor="text1"/>
          <w:highlight w:val="none"/>
          <w:u w:val="single"/>
          <w14:textFill>
            <w14:solidFill>
              <w14:schemeClr w14:val="tx1"/>
            </w14:solidFill>
          </w14:textFill>
        </w:rPr>
        <w:t xml:space="preserve">          （所有成员单位名称）    </w:t>
      </w:r>
      <w:r>
        <w:rPr>
          <w:rFonts w:hint="eastAsia" w:ascii="宋体" w:hAnsi="宋体" w:eastAsiaTheme="minorHAnsi" w:cstheme="minorBidi"/>
          <w:bCs/>
          <w:color w:val="000000" w:themeColor="text1"/>
          <w:highlight w:val="none"/>
          <w14:textFill>
            <w14:solidFill>
              <w14:schemeClr w14:val="tx1"/>
            </w14:solidFill>
          </w14:textFill>
        </w:rPr>
        <w:t>自愿组成</w:t>
      </w:r>
      <w:r>
        <w:rPr>
          <w:rFonts w:hint="eastAsia" w:ascii="宋体" w:hAnsi="宋体" w:eastAsiaTheme="minorHAnsi" w:cstheme="minorBidi"/>
          <w:bCs/>
          <w:color w:val="000000" w:themeColor="text1"/>
          <w:highlight w:val="none"/>
          <w:u w:val="single"/>
          <w14:textFill>
            <w14:solidFill>
              <w14:schemeClr w14:val="tx1"/>
            </w14:solidFill>
          </w14:textFill>
        </w:rPr>
        <w:t xml:space="preserve"> 联合体牵头单位[***]及联合体成员[***]（联合体名称）</w:t>
      </w:r>
      <w:r>
        <w:rPr>
          <w:rFonts w:hint="eastAsia" w:ascii="宋体" w:hAnsi="宋体" w:eastAsiaTheme="minorHAnsi" w:cstheme="minorBidi"/>
          <w:bCs/>
          <w:color w:val="000000" w:themeColor="text1"/>
          <w:highlight w:val="none"/>
          <w14:textFill>
            <w14:solidFill>
              <w14:schemeClr w14:val="tx1"/>
            </w14:solidFill>
          </w14:textFill>
        </w:rPr>
        <w:t>联合体，共同参加</w:t>
      </w:r>
      <w:r>
        <w:rPr>
          <w:rFonts w:hint="eastAsia" w:ascii="宋体" w:hAnsi="宋体" w:eastAsiaTheme="minorHAnsi" w:cstheme="minorBidi"/>
          <w:bCs/>
          <w:color w:val="000000" w:themeColor="text1"/>
          <w:highlight w:val="none"/>
          <w:u w:val="single"/>
          <w14:textFill>
            <w14:solidFill>
              <w14:schemeClr w14:val="tx1"/>
            </w14:solidFill>
          </w14:textFill>
        </w:rPr>
        <w:t xml:space="preserve">               （项目名称）</w:t>
      </w:r>
      <w:r>
        <w:rPr>
          <w:rFonts w:hint="eastAsia" w:ascii="宋体" w:hAnsi="宋体" w:eastAsiaTheme="minorHAnsi" w:cstheme="minorBidi"/>
          <w:bCs/>
          <w:color w:val="000000" w:themeColor="text1"/>
          <w:highlight w:val="none"/>
          <w14:textFill>
            <w14:solidFill>
              <w14:schemeClr w14:val="tx1"/>
            </w14:solidFill>
          </w14:textFill>
        </w:rPr>
        <w:t>的投标。现就联合体投标事宜订立如下协议。</w:t>
      </w:r>
    </w:p>
    <w:p w14:paraId="31804A69">
      <w:pPr>
        <w:widowControl/>
        <w:adjustRightInd/>
        <w:snapToGrid/>
        <w:spacing w:after="200" w:line="360" w:lineRule="auto"/>
        <w:ind w:firstLine="840" w:firstLineChars="350"/>
        <w:jc w:val="left"/>
        <w:rPr>
          <w:rFonts w:ascii="宋体" w:hAnsi="宋体" w:eastAsiaTheme="minorHAnsi" w:cstheme="minorBidi"/>
          <w:bCs/>
          <w:color w:val="000000" w:themeColor="text1"/>
          <w:highlight w:val="none"/>
          <w14:textFill>
            <w14:solidFill>
              <w14:schemeClr w14:val="tx1"/>
            </w14:solidFill>
          </w14:textFill>
        </w:rPr>
      </w:pPr>
      <w:r>
        <w:rPr>
          <w:rFonts w:hint="eastAsia" w:ascii="宋体" w:hAnsi="宋体" w:eastAsiaTheme="minorHAnsi" w:cstheme="minorBidi"/>
          <w:bCs/>
          <w:color w:val="000000" w:themeColor="text1"/>
          <w:highlight w:val="none"/>
          <w14:textFill>
            <w14:solidFill>
              <w14:schemeClr w14:val="tx1"/>
            </w14:solidFill>
          </w14:textFill>
        </w:rPr>
        <w:t xml:space="preserve">1. </w:t>
      </w:r>
      <w:r>
        <w:rPr>
          <w:rFonts w:hint="eastAsia" w:ascii="宋体" w:hAnsi="宋体" w:eastAsiaTheme="minorHAnsi" w:cstheme="minorBidi"/>
          <w:bCs/>
          <w:color w:val="000000" w:themeColor="text1"/>
          <w:highlight w:val="none"/>
          <w:u w:val="single"/>
          <w14:textFill>
            <w14:solidFill>
              <w14:schemeClr w14:val="tx1"/>
            </w14:solidFill>
          </w14:textFill>
        </w:rPr>
        <w:t xml:space="preserve">           （某成员单位名称）</w:t>
      </w:r>
      <w:r>
        <w:rPr>
          <w:rFonts w:hint="eastAsia" w:ascii="宋体" w:hAnsi="宋体" w:eastAsiaTheme="minorHAnsi" w:cstheme="minorBidi"/>
          <w:bCs/>
          <w:color w:val="000000" w:themeColor="text1"/>
          <w:highlight w:val="none"/>
          <w14:textFill>
            <w14:solidFill>
              <w14:schemeClr w14:val="tx1"/>
            </w14:solidFill>
          </w14:textFill>
        </w:rPr>
        <w:t xml:space="preserve">为联合体牵头单位。 </w:t>
      </w:r>
    </w:p>
    <w:p w14:paraId="21B36B19">
      <w:pPr>
        <w:widowControl/>
        <w:adjustRightInd/>
        <w:snapToGrid/>
        <w:spacing w:after="200" w:line="360" w:lineRule="auto"/>
        <w:ind w:firstLine="840" w:firstLineChars="350"/>
        <w:jc w:val="left"/>
        <w:rPr>
          <w:rFonts w:ascii="宋体" w:hAnsi="宋体" w:eastAsiaTheme="minorHAnsi" w:cstheme="minorBidi"/>
          <w:bCs/>
          <w:color w:val="000000" w:themeColor="text1"/>
          <w:highlight w:val="none"/>
          <w14:textFill>
            <w14:solidFill>
              <w14:schemeClr w14:val="tx1"/>
            </w14:solidFill>
          </w14:textFill>
        </w:rPr>
      </w:pPr>
      <w:r>
        <w:rPr>
          <w:rFonts w:hint="eastAsia" w:ascii="宋体" w:hAnsi="宋体" w:eastAsiaTheme="minorHAnsi" w:cstheme="minorBidi"/>
          <w:bCs/>
          <w:color w:val="000000" w:themeColor="text1"/>
          <w:highlight w:val="none"/>
          <w14:textFill>
            <w14:solidFill>
              <w14:schemeClr w14:val="tx1"/>
            </w14:solidFill>
          </w14:textFill>
        </w:rPr>
        <w:t>2.联合体牵头单位合法代表联合体各成员负责本招标项目投标文件编制和合同谈判活动，并代表联合体提交和接收相关的资料、信息及指示，并处理与之有关的一切事务，负责合同实施阶段的主办、组织和协调工作。</w:t>
      </w:r>
    </w:p>
    <w:p w14:paraId="7B206676">
      <w:pPr>
        <w:widowControl/>
        <w:adjustRightInd/>
        <w:snapToGrid/>
        <w:spacing w:after="200" w:line="360" w:lineRule="auto"/>
        <w:ind w:firstLine="840" w:firstLineChars="350"/>
        <w:jc w:val="left"/>
        <w:rPr>
          <w:rFonts w:ascii="宋体" w:hAnsi="宋体" w:eastAsiaTheme="minorHAnsi" w:cstheme="minorBidi"/>
          <w:bCs/>
          <w:color w:val="000000" w:themeColor="text1"/>
          <w:highlight w:val="none"/>
          <w14:textFill>
            <w14:solidFill>
              <w14:schemeClr w14:val="tx1"/>
            </w14:solidFill>
          </w14:textFill>
        </w:rPr>
      </w:pPr>
      <w:r>
        <w:rPr>
          <w:rFonts w:hint="eastAsia" w:ascii="宋体" w:hAnsi="宋体" w:eastAsiaTheme="minorHAnsi" w:cstheme="minorBidi"/>
          <w:bCs/>
          <w:color w:val="000000" w:themeColor="text1"/>
          <w:highlight w:val="none"/>
          <w14:textFill>
            <w14:solidFill>
              <w14:schemeClr w14:val="tx1"/>
            </w14:solidFill>
          </w14:textFill>
        </w:rPr>
        <w:t>3.联合体将严格按照招标文件的各项要求，递交投标文件，履行合同，并对外承担连带责任。联合体成员单位均承担履约连带责任，即一方无法履约的，另一方必须承担无限连带责任，确保工程顺利完工。</w:t>
      </w:r>
    </w:p>
    <w:p w14:paraId="2507A88B">
      <w:pPr>
        <w:widowControl/>
        <w:adjustRightInd/>
        <w:snapToGrid/>
        <w:spacing w:after="200" w:line="360" w:lineRule="auto"/>
        <w:ind w:firstLine="840" w:firstLineChars="350"/>
        <w:jc w:val="left"/>
        <w:rPr>
          <w:rFonts w:ascii="宋体" w:hAnsi="宋体" w:eastAsiaTheme="minorHAnsi" w:cstheme="minorBidi"/>
          <w:bCs/>
          <w:color w:val="000000" w:themeColor="text1"/>
          <w:highlight w:val="none"/>
          <w14:textFill>
            <w14:solidFill>
              <w14:schemeClr w14:val="tx1"/>
            </w14:solidFill>
          </w14:textFill>
        </w:rPr>
      </w:pPr>
      <w:r>
        <w:rPr>
          <w:rFonts w:hint="eastAsia" w:ascii="宋体" w:hAnsi="宋体" w:eastAsiaTheme="minorHAnsi" w:cstheme="minorBidi"/>
          <w:bCs/>
          <w:color w:val="000000" w:themeColor="text1"/>
          <w:highlight w:val="none"/>
          <w14:textFill>
            <w14:solidFill>
              <w14:schemeClr w14:val="tx1"/>
            </w14:solidFill>
          </w14:textFill>
        </w:rPr>
        <w:t>4.联合体各成员单位内部的职责分工如下：</w:t>
      </w:r>
      <w:r>
        <w:rPr>
          <w:rFonts w:hint="eastAsia" w:ascii="宋体" w:hAnsi="宋体" w:eastAsiaTheme="minorHAnsi" w:cstheme="minorBidi"/>
          <w:bCs/>
          <w:color w:val="000000" w:themeColor="text1"/>
          <w:highlight w:val="none"/>
          <w:u w:val="single"/>
          <w14:textFill>
            <w14:solidFill>
              <w14:schemeClr w14:val="tx1"/>
            </w14:solidFill>
          </w14:textFill>
        </w:rPr>
        <w:t xml:space="preserve">                     </w:t>
      </w:r>
      <w:r>
        <w:rPr>
          <w:rFonts w:hint="eastAsia" w:ascii="宋体" w:hAnsi="宋体" w:eastAsiaTheme="minorHAnsi" w:cstheme="minorBidi"/>
          <w:bCs/>
          <w:color w:val="000000" w:themeColor="text1"/>
          <w:highlight w:val="none"/>
          <w14:textFill>
            <w14:solidFill>
              <w14:schemeClr w14:val="tx1"/>
            </w14:solidFill>
          </w14:textFill>
        </w:rPr>
        <w:t>。</w:t>
      </w:r>
    </w:p>
    <w:p w14:paraId="31D990B9">
      <w:pPr>
        <w:widowControl/>
        <w:adjustRightInd/>
        <w:snapToGrid/>
        <w:spacing w:after="200" w:line="360" w:lineRule="auto"/>
        <w:ind w:firstLine="840" w:firstLineChars="350"/>
        <w:jc w:val="left"/>
        <w:rPr>
          <w:rFonts w:ascii="宋体" w:hAnsi="宋体" w:eastAsiaTheme="minorHAnsi" w:cstheme="minorBidi"/>
          <w:bCs/>
          <w:color w:val="000000" w:themeColor="text1"/>
          <w:highlight w:val="none"/>
          <w14:textFill>
            <w14:solidFill>
              <w14:schemeClr w14:val="tx1"/>
            </w14:solidFill>
          </w14:textFill>
        </w:rPr>
      </w:pPr>
      <w:r>
        <w:rPr>
          <w:rFonts w:hint="eastAsia" w:ascii="宋体" w:hAnsi="宋体" w:eastAsiaTheme="minorHAnsi" w:cstheme="minorBidi"/>
          <w:bCs/>
          <w:color w:val="000000" w:themeColor="text1"/>
          <w:highlight w:val="none"/>
          <w14:textFill>
            <w14:solidFill>
              <w14:schemeClr w14:val="tx1"/>
            </w14:solidFill>
          </w14:textFill>
        </w:rPr>
        <w:t>5.本协议书自签署之日起生效，合同履行完毕后自动失效。</w:t>
      </w:r>
    </w:p>
    <w:p w14:paraId="0291D3D7">
      <w:pPr>
        <w:widowControl/>
        <w:adjustRightInd/>
        <w:snapToGrid/>
        <w:spacing w:after="200" w:line="360" w:lineRule="auto"/>
        <w:ind w:firstLine="840" w:firstLineChars="350"/>
        <w:jc w:val="left"/>
        <w:rPr>
          <w:rFonts w:ascii="宋体" w:hAnsi="宋体" w:eastAsiaTheme="minorHAnsi" w:cstheme="minorBidi"/>
          <w:bCs/>
          <w:color w:val="000000" w:themeColor="text1"/>
          <w:highlight w:val="none"/>
          <w14:textFill>
            <w14:solidFill>
              <w14:schemeClr w14:val="tx1"/>
            </w14:solidFill>
          </w14:textFill>
        </w:rPr>
      </w:pPr>
      <w:r>
        <w:rPr>
          <w:rFonts w:hint="eastAsia" w:ascii="宋体" w:hAnsi="宋体" w:eastAsiaTheme="minorHAnsi" w:cstheme="minorBidi"/>
          <w:bCs/>
          <w:color w:val="000000" w:themeColor="text1"/>
          <w:highlight w:val="none"/>
          <w14:textFill>
            <w14:solidFill>
              <w14:schemeClr w14:val="tx1"/>
            </w14:solidFill>
          </w14:textFill>
        </w:rPr>
        <w:t>6.联合体协议书一式</w:t>
      </w:r>
      <w:r>
        <w:rPr>
          <w:rFonts w:hint="eastAsia" w:ascii="宋体" w:hAnsi="宋体" w:eastAsiaTheme="minorHAnsi" w:cstheme="minorBidi"/>
          <w:bCs/>
          <w:color w:val="000000" w:themeColor="text1"/>
          <w:highlight w:val="none"/>
          <w:u w:val="single"/>
          <w14:textFill>
            <w14:solidFill>
              <w14:schemeClr w14:val="tx1"/>
            </w14:solidFill>
          </w14:textFill>
        </w:rPr>
        <w:t xml:space="preserve">      </w:t>
      </w:r>
      <w:r>
        <w:rPr>
          <w:rFonts w:hint="eastAsia" w:ascii="宋体" w:hAnsi="宋体" w:eastAsiaTheme="minorHAnsi" w:cstheme="minorBidi"/>
          <w:bCs/>
          <w:color w:val="000000" w:themeColor="text1"/>
          <w:highlight w:val="none"/>
          <w14:textFill>
            <w14:solidFill>
              <w14:schemeClr w14:val="tx1"/>
            </w14:solidFill>
          </w14:textFill>
        </w:rPr>
        <w:t>份，联合体成员和采购人各执</w:t>
      </w:r>
      <w:r>
        <w:rPr>
          <w:rFonts w:hint="eastAsia" w:ascii="宋体" w:hAnsi="宋体" w:eastAsiaTheme="minorHAnsi" w:cstheme="minorBidi"/>
          <w:bCs/>
          <w:color w:val="000000" w:themeColor="text1"/>
          <w:highlight w:val="none"/>
          <w:u w:val="single"/>
          <w14:textFill>
            <w14:solidFill>
              <w14:schemeClr w14:val="tx1"/>
            </w14:solidFill>
          </w14:textFill>
        </w:rPr>
        <w:t xml:space="preserve">     </w:t>
      </w:r>
      <w:r>
        <w:rPr>
          <w:rFonts w:hint="eastAsia" w:ascii="宋体" w:hAnsi="宋体" w:eastAsiaTheme="minorHAnsi" w:cstheme="minorBidi"/>
          <w:bCs/>
          <w:color w:val="000000" w:themeColor="text1"/>
          <w:highlight w:val="none"/>
          <w14:textFill>
            <w14:solidFill>
              <w14:schemeClr w14:val="tx1"/>
            </w14:solidFill>
          </w14:textFill>
        </w:rPr>
        <w:t>份。</w:t>
      </w:r>
    </w:p>
    <w:p w14:paraId="2F788F49">
      <w:pPr>
        <w:widowControl/>
        <w:adjustRightInd/>
        <w:snapToGrid/>
        <w:spacing w:after="200" w:line="360" w:lineRule="auto"/>
        <w:ind w:firstLine="840" w:firstLineChars="350"/>
        <w:jc w:val="left"/>
        <w:rPr>
          <w:rFonts w:ascii="宋体" w:hAnsi="宋体" w:eastAsiaTheme="minorHAnsi" w:cstheme="minorBidi"/>
          <w:bCs/>
          <w:color w:val="000000" w:themeColor="text1"/>
          <w:highlight w:val="none"/>
          <w14:textFill>
            <w14:solidFill>
              <w14:schemeClr w14:val="tx1"/>
            </w14:solidFill>
          </w14:textFill>
        </w:rPr>
      </w:pPr>
    </w:p>
    <w:p w14:paraId="3F1DB57E">
      <w:pPr>
        <w:widowControl/>
        <w:adjustRightInd/>
        <w:snapToGrid/>
        <w:spacing w:after="200" w:line="360" w:lineRule="auto"/>
        <w:ind w:firstLine="840" w:firstLineChars="350"/>
        <w:jc w:val="left"/>
        <w:rPr>
          <w:rFonts w:ascii="宋体" w:hAnsi="宋体" w:eastAsiaTheme="minorHAnsi" w:cstheme="minorBidi"/>
          <w:bCs/>
          <w:color w:val="000000" w:themeColor="text1"/>
          <w:highlight w:val="none"/>
          <w14:textFill>
            <w14:solidFill>
              <w14:schemeClr w14:val="tx1"/>
            </w14:solidFill>
          </w14:textFill>
        </w:rPr>
      </w:pPr>
      <w:r>
        <w:rPr>
          <w:rFonts w:hint="eastAsia" w:ascii="宋体" w:hAnsi="宋体" w:eastAsiaTheme="minorHAnsi" w:cstheme="minorBidi"/>
          <w:bCs/>
          <w:color w:val="000000" w:themeColor="text1"/>
          <w:highlight w:val="none"/>
          <w14:textFill>
            <w14:solidFill>
              <w14:schemeClr w14:val="tx1"/>
            </w14:solidFill>
          </w14:textFill>
        </w:rPr>
        <w:t xml:space="preserve">    牵头单位名称：</w:t>
      </w:r>
      <w:r>
        <w:rPr>
          <w:rFonts w:hint="eastAsia" w:ascii="宋体" w:hAnsi="宋体" w:eastAsiaTheme="minorHAnsi" w:cstheme="minorBidi"/>
          <w:bCs/>
          <w:color w:val="000000" w:themeColor="text1"/>
          <w:highlight w:val="none"/>
          <w:u w:val="single"/>
          <w14:textFill>
            <w14:solidFill>
              <w14:schemeClr w14:val="tx1"/>
            </w14:solidFill>
          </w14:textFill>
        </w:rPr>
        <w:t xml:space="preserve">                        （盖单位章）</w:t>
      </w:r>
    </w:p>
    <w:p w14:paraId="71C888AC">
      <w:pPr>
        <w:widowControl/>
        <w:adjustRightInd/>
        <w:snapToGrid/>
        <w:spacing w:after="200" w:line="360" w:lineRule="auto"/>
        <w:ind w:firstLine="840" w:firstLineChars="350"/>
        <w:jc w:val="left"/>
        <w:rPr>
          <w:rFonts w:ascii="宋体" w:hAnsi="宋体" w:eastAsiaTheme="minorHAnsi" w:cstheme="minorBidi"/>
          <w:bCs/>
          <w:color w:val="000000" w:themeColor="text1"/>
          <w:highlight w:val="none"/>
          <w14:textFill>
            <w14:solidFill>
              <w14:schemeClr w14:val="tx1"/>
            </w14:solidFill>
          </w14:textFill>
        </w:rPr>
      </w:pPr>
      <w:r>
        <w:rPr>
          <w:rFonts w:hint="eastAsia" w:ascii="宋体" w:hAnsi="宋体" w:eastAsiaTheme="minorHAnsi" w:cstheme="minorBidi"/>
          <w:bCs/>
          <w:color w:val="000000" w:themeColor="text1"/>
          <w:highlight w:val="none"/>
          <w14:textFill>
            <w14:solidFill>
              <w14:schemeClr w14:val="tx1"/>
            </w14:solidFill>
          </w14:textFill>
        </w:rPr>
        <w:t xml:space="preserve">    法定代表人或其委托代理人：</w:t>
      </w:r>
      <w:r>
        <w:rPr>
          <w:rFonts w:hint="eastAsia" w:ascii="宋体" w:hAnsi="宋体" w:eastAsiaTheme="minorHAnsi" w:cstheme="minorBidi"/>
          <w:bCs/>
          <w:color w:val="000000" w:themeColor="text1"/>
          <w:highlight w:val="none"/>
          <w:u w:val="single"/>
          <w14:textFill>
            <w14:solidFill>
              <w14:schemeClr w14:val="tx1"/>
            </w14:solidFill>
          </w14:textFill>
        </w:rPr>
        <w:t xml:space="preserve">              （签字或盖章）</w:t>
      </w:r>
    </w:p>
    <w:p w14:paraId="35302FE3">
      <w:pPr>
        <w:widowControl/>
        <w:adjustRightInd/>
        <w:snapToGrid/>
        <w:spacing w:after="200" w:line="360" w:lineRule="auto"/>
        <w:ind w:firstLine="840" w:firstLineChars="350"/>
        <w:jc w:val="left"/>
        <w:rPr>
          <w:rFonts w:ascii="宋体" w:hAnsi="宋体" w:eastAsiaTheme="minorHAnsi" w:cstheme="minorBidi"/>
          <w:bCs/>
          <w:color w:val="000000" w:themeColor="text1"/>
          <w:highlight w:val="none"/>
          <w:u w:val="single"/>
          <w14:textFill>
            <w14:solidFill>
              <w14:schemeClr w14:val="tx1"/>
            </w14:solidFill>
          </w14:textFill>
        </w:rPr>
      </w:pPr>
      <w:r>
        <w:rPr>
          <w:rFonts w:hint="eastAsia" w:ascii="宋体" w:hAnsi="宋体" w:eastAsiaTheme="minorHAnsi" w:cstheme="minorBidi"/>
          <w:bCs/>
          <w:color w:val="000000" w:themeColor="text1"/>
          <w:highlight w:val="none"/>
          <w14:textFill>
            <w14:solidFill>
              <w14:schemeClr w14:val="tx1"/>
            </w14:solidFill>
          </w14:textFill>
        </w:rPr>
        <w:t xml:space="preserve">    联合体成员名称：</w:t>
      </w:r>
      <w:r>
        <w:rPr>
          <w:rFonts w:hint="eastAsia" w:ascii="宋体" w:hAnsi="宋体" w:eastAsiaTheme="minorHAnsi" w:cstheme="minorBidi"/>
          <w:bCs/>
          <w:color w:val="000000" w:themeColor="text1"/>
          <w:highlight w:val="none"/>
          <w:u w:val="single"/>
          <w14:textFill>
            <w14:solidFill>
              <w14:schemeClr w14:val="tx1"/>
            </w14:solidFill>
          </w14:textFill>
        </w:rPr>
        <w:t xml:space="preserve">                （盖单位章）</w:t>
      </w:r>
    </w:p>
    <w:p w14:paraId="14A9E59E">
      <w:pPr>
        <w:widowControl/>
        <w:adjustRightInd/>
        <w:snapToGrid/>
        <w:spacing w:after="200" w:line="360" w:lineRule="auto"/>
        <w:ind w:firstLine="840" w:firstLineChars="350"/>
        <w:jc w:val="left"/>
        <w:rPr>
          <w:rFonts w:ascii="宋体" w:hAnsi="宋体" w:eastAsiaTheme="minorHAnsi" w:cstheme="minorBidi"/>
          <w:bCs/>
          <w:color w:val="000000" w:themeColor="text1"/>
          <w:highlight w:val="none"/>
          <w:u w:val="single"/>
          <w14:textFill>
            <w14:solidFill>
              <w14:schemeClr w14:val="tx1"/>
            </w14:solidFill>
          </w14:textFill>
        </w:rPr>
      </w:pPr>
      <w:r>
        <w:rPr>
          <w:rFonts w:hint="eastAsia" w:ascii="宋体" w:hAnsi="宋体" w:eastAsiaTheme="minorHAnsi" w:cstheme="minorBidi"/>
          <w:bCs/>
          <w:color w:val="000000" w:themeColor="text1"/>
          <w:highlight w:val="none"/>
          <w14:textFill>
            <w14:solidFill>
              <w14:schemeClr w14:val="tx1"/>
            </w14:solidFill>
          </w14:textFill>
        </w:rPr>
        <w:t xml:space="preserve">    法定代表人或其委托代理人：</w:t>
      </w:r>
      <w:r>
        <w:rPr>
          <w:rFonts w:hint="eastAsia" w:ascii="宋体" w:hAnsi="宋体" w:eastAsiaTheme="minorHAnsi" w:cstheme="minorBidi"/>
          <w:bCs/>
          <w:color w:val="000000" w:themeColor="text1"/>
          <w:highlight w:val="none"/>
          <w:u w:val="single"/>
          <w14:textFill>
            <w14:solidFill>
              <w14:schemeClr w14:val="tx1"/>
            </w14:solidFill>
          </w14:textFill>
        </w:rPr>
        <w:t xml:space="preserve">              （签字或盖章）</w:t>
      </w:r>
    </w:p>
    <w:p w14:paraId="54DAA32F">
      <w:pPr>
        <w:widowControl/>
        <w:adjustRightInd/>
        <w:snapToGrid/>
        <w:spacing w:after="200" w:line="360" w:lineRule="auto"/>
        <w:ind w:firstLine="1140" w:firstLineChars="475"/>
        <w:jc w:val="both"/>
        <w:rPr>
          <w:rFonts w:ascii="宋体" w:hAnsi="宋体" w:eastAsiaTheme="minorHAnsi" w:cstheme="minorBidi"/>
          <w:bCs/>
          <w:color w:val="000000" w:themeColor="text1"/>
          <w:highlight w:val="none"/>
          <w14:textFill>
            <w14:solidFill>
              <w14:schemeClr w14:val="tx1"/>
            </w14:solidFill>
          </w14:textFill>
        </w:rPr>
      </w:pPr>
      <w:r>
        <w:rPr>
          <w:rFonts w:hint="eastAsia" w:ascii="宋体" w:hAnsi="宋体" w:eastAsiaTheme="minorHAnsi" w:cstheme="minorBidi"/>
          <w:bCs/>
          <w:color w:val="000000" w:themeColor="text1"/>
          <w:highlight w:val="none"/>
          <w14:textFill>
            <w14:solidFill>
              <w14:schemeClr w14:val="tx1"/>
            </w14:solidFill>
          </w14:textFill>
        </w:rPr>
        <w:t xml:space="preserve">  年     月     日</w:t>
      </w:r>
    </w:p>
    <w:p w14:paraId="62B3122C">
      <w:pPr>
        <w:widowControl/>
        <w:topLinePunct/>
        <w:spacing w:after="200" w:line="360" w:lineRule="auto"/>
        <w:ind w:firstLine="220" w:firstLineChars="0"/>
        <w:jc w:val="left"/>
        <w:rPr>
          <w:rFonts w:ascii="宋体" w:hAnsi="宋体" w:eastAsiaTheme="minorHAnsi" w:cstheme="minorBidi"/>
          <w:color w:val="000000" w:themeColor="text1"/>
          <w:sz w:val="22"/>
          <w:szCs w:val="21"/>
          <w:highlight w:val="none"/>
          <w14:textFill>
            <w14:solidFill>
              <w14:schemeClr w14:val="tx1"/>
            </w14:solidFill>
          </w14:textFill>
        </w:rPr>
      </w:pPr>
      <w:r>
        <w:rPr>
          <w:rFonts w:asciiTheme="minorEastAsia" w:hAnsiTheme="minorEastAsia" w:eastAsiaTheme="minorEastAsia"/>
          <w:color w:val="000000" w:themeColor="text1"/>
          <w:sz w:val="28"/>
          <w:szCs w:val="28"/>
          <w:highlight w:val="none"/>
          <w14:textFill>
            <w14:solidFill>
              <w14:schemeClr w14:val="tx1"/>
            </w14:solidFill>
          </w14:textFill>
        </w:rPr>
        <w:br w:type="page"/>
      </w:r>
      <w:r>
        <w:rPr>
          <w:rFonts w:hint="eastAsia" w:ascii="宋体" w:hAnsi="宋体" w:eastAsiaTheme="minorHAnsi" w:cstheme="minorBidi"/>
          <w:color w:val="000000" w:themeColor="text1"/>
          <w:highlight w:val="none"/>
          <w14:textFill>
            <w14:solidFill>
              <w14:schemeClr w14:val="tx1"/>
            </w14:solidFill>
          </w14:textFill>
        </w:rPr>
        <w:t>附件：中小企业声明函</w:t>
      </w:r>
    </w:p>
    <w:p w14:paraId="0ACD027F">
      <w:pPr>
        <w:widowControl/>
        <w:topLinePunct/>
        <w:spacing w:after="200" w:line="360" w:lineRule="auto"/>
        <w:ind w:firstLine="220" w:firstLineChars="0"/>
        <w:rPr>
          <w:rFonts w:ascii="宋体" w:hAnsi="宋体" w:eastAsiaTheme="minorHAnsi" w:cstheme="minorBidi"/>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中</w:t>
      </w:r>
      <w:r>
        <w:rPr>
          <w:rFonts w:hint="eastAsia" w:ascii="宋体" w:hAnsi="宋体" w:eastAsiaTheme="minorHAnsi" w:cstheme="minorBidi"/>
          <w:b/>
          <w:bCs/>
          <w:color w:val="000000" w:themeColor="text1"/>
          <w:highlight w:val="none"/>
          <w14:textFill>
            <w14:solidFill>
              <w14:schemeClr w14:val="tx1"/>
            </w14:solidFill>
          </w14:textFill>
        </w:rPr>
        <w:t>小企业声明函</w:t>
      </w:r>
    </w:p>
    <w:p w14:paraId="75E573D0">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本</w:t>
      </w:r>
      <w:r>
        <w:rPr>
          <w:rFonts w:hint="eastAsia" w:ascii="宋体" w:hAnsi="宋体" w:eastAsiaTheme="minorHAnsi" w:cstheme="minorBidi"/>
          <w:color w:val="000000" w:themeColor="text1"/>
          <w:highlight w:val="none"/>
          <w14:textFill>
            <w14:solidFill>
              <w14:schemeClr w14:val="tx1"/>
            </w14:solidFill>
          </w14:textFill>
        </w:rPr>
        <w:t>公司（联合体）郑重声明，根据《政府采购促进中小企业发展管理办法》（财库[2020]46号）的规定，本公司（联合体）参加</w:t>
      </w:r>
      <w:r>
        <w:rPr>
          <w:rFonts w:hint="eastAsia" w:ascii="宋体" w:hAnsi="宋体" w:eastAsiaTheme="minorHAnsi" w:cstheme="minorBidi"/>
          <w:color w:val="000000" w:themeColor="text1"/>
          <w:highlight w:val="none"/>
          <w:u w:val="single"/>
          <w14:textFill>
            <w14:solidFill>
              <w14:schemeClr w14:val="tx1"/>
            </w14:solidFill>
          </w14:textFill>
        </w:rPr>
        <w:t xml:space="preserve"> （单位名称）      </w:t>
      </w:r>
      <w:r>
        <w:rPr>
          <w:rFonts w:hint="eastAsia" w:ascii="宋体" w:hAnsi="宋体" w:eastAsiaTheme="minorHAnsi" w:cstheme="minorBidi"/>
          <w:color w:val="000000" w:themeColor="text1"/>
          <w:highlight w:val="none"/>
          <w14:textFill>
            <w14:solidFill>
              <w14:schemeClr w14:val="tx1"/>
            </w14:solidFill>
          </w14:textFill>
        </w:rPr>
        <w:t>的</w:t>
      </w:r>
      <w:r>
        <w:rPr>
          <w:rFonts w:hint="eastAsia" w:ascii="宋体" w:hAnsi="宋体" w:eastAsiaTheme="minorHAnsi" w:cstheme="minorBidi"/>
          <w:color w:val="000000" w:themeColor="text1"/>
          <w:highlight w:val="none"/>
          <w:u w:val="single"/>
          <w14:textFill>
            <w14:solidFill>
              <w14:schemeClr w14:val="tx1"/>
            </w14:solidFill>
          </w14:textFill>
        </w:rPr>
        <w:t xml:space="preserve"> （标的名称）       </w:t>
      </w:r>
      <w:r>
        <w:rPr>
          <w:rFonts w:hint="eastAsia" w:ascii="宋体" w:hAnsi="宋体" w:eastAsiaTheme="minorHAnsi" w:cstheme="minorBidi"/>
          <w:color w:val="000000" w:themeColor="text1"/>
          <w:highlight w:val="none"/>
          <w14:textFill>
            <w14:solidFill>
              <w14:schemeClr w14:val="tx1"/>
            </w14:solidFill>
          </w14:textFill>
        </w:rPr>
        <w:t>采购活动，提供的服务全部由符合政策要求的小微企业提供。相关企业（含联合体中的中小企业、签订分包意向协议的中小企业）的具体情况如下：</w:t>
      </w:r>
    </w:p>
    <w:p w14:paraId="7E98DCCF">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eastAsiaTheme="minorHAnsi" w:cstheme="minorBidi"/>
          <w:color w:val="000000" w:themeColor="text1"/>
          <w:highlight w:val="none"/>
          <w14:textFill>
            <w14:solidFill>
              <w14:schemeClr w14:val="tx1"/>
            </w14:solidFill>
          </w14:textFill>
        </w:rPr>
        <w:t>1.</w:t>
      </w:r>
      <w:r>
        <w:rPr>
          <w:rFonts w:hint="eastAsia" w:ascii="宋体" w:hAnsi="宋体" w:eastAsiaTheme="minorHAnsi" w:cstheme="minorBidi"/>
          <w:color w:val="000000" w:themeColor="text1"/>
          <w:highlight w:val="none"/>
          <w:u w:val="single"/>
          <w14:textFill>
            <w14:solidFill>
              <w14:schemeClr w14:val="tx1"/>
            </w14:solidFill>
          </w14:textFill>
        </w:rPr>
        <w:t xml:space="preserve"> （标的名称）        </w:t>
      </w:r>
      <w:r>
        <w:rPr>
          <w:rFonts w:hint="eastAsia" w:ascii="宋体" w:hAnsi="宋体" w:eastAsiaTheme="minorHAnsi" w:cstheme="minorBidi"/>
          <w:color w:val="000000" w:themeColor="text1"/>
          <w:highlight w:val="none"/>
          <w14:textFill>
            <w14:solidFill>
              <w14:schemeClr w14:val="tx1"/>
            </w14:solidFill>
          </w14:textFill>
        </w:rPr>
        <w:t>，属于</w:t>
      </w:r>
      <w:r>
        <w:rPr>
          <w:rFonts w:hint="eastAsia" w:ascii="宋体" w:hAnsi="宋体" w:eastAsiaTheme="minorHAnsi" w:cstheme="minorBidi"/>
          <w:color w:val="000000" w:themeColor="text1"/>
          <w:highlight w:val="none"/>
          <w:u w:val="single"/>
          <w14:textFill>
            <w14:solidFill>
              <w14:schemeClr w14:val="tx1"/>
            </w14:solidFill>
          </w14:textFill>
        </w:rPr>
        <w:t xml:space="preserve">  （采购文件中明确的所属行业） </w:t>
      </w:r>
      <w:r>
        <w:rPr>
          <w:rFonts w:hint="eastAsia" w:ascii="宋体" w:hAnsi="宋体" w:eastAsiaTheme="minorHAnsi" w:cstheme="minorBidi"/>
          <w:color w:val="000000" w:themeColor="text1"/>
          <w:highlight w:val="none"/>
          <w14:textFill>
            <w14:solidFill>
              <w14:schemeClr w14:val="tx1"/>
            </w14:solidFill>
          </w14:textFill>
        </w:rPr>
        <w:t>；承建（承接）企业为</w:t>
      </w:r>
      <w:r>
        <w:rPr>
          <w:rFonts w:hint="eastAsia" w:ascii="宋体" w:hAnsi="宋体" w:eastAsiaTheme="minorHAnsi" w:cstheme="minorBidi"/>
          <w:color w:val="000000" w:themeColor="text1"/>
          <w:highlight w:val="none"/>
          <w:u w:val="single"/>
          <w14:textFill>
            <w14:solidFill>
              <w14:schemeClr w14:val="tx1"/>
            </w14:solidFill>
          </w14:textFill>
        </w:rPr>
        <w:t xml:space="preserve"> （企业名称）</w:t>
      </w:r>
      <w:r>
        <w:rPr>
          <w:rFonts w:hint="eastAsia" w:ascii="宋体" w:hAnsi="宋体" w:eastAsiaTheme="minorHAnsi" w:cstheme="minorBidi"/>
          <w:color w:val="000000" w:themeColor="text1"/>
          <w:highlight w:val="none"/>
          <w14:textFill>
            <w14:solidFill>
              <w14:schemeClr w14:val="tx1"/>
            </w14:solidFill>
          </w14:textFill>
        </w:rPr>
        <w:t>，从业人员</w:t>
      </w:r>
      <w:r>
        <w:rPr>
          <w:rFonts w:hint="eastAsia" w:ascii="宋体" w:hAnsi="宋体" w:eastAsiaTheme="minorHAnsi" w:cstheme="minorBidi"/>
          <w:color w:val="000000" w:themeColor="text1"/>
          <w:highlight w:val="none"/>
          <w:u w:val="single"/>
          <w14:textFill>
            <w14:solidFill>
              <w14:schemeClr w14:val="tx1"/>
            </w14:solidFill>
          </w14:textFill>
        </w:rPr>
        <w:t xml:space="preserve">     </w:t>
      </w:r>
      <w:r>
        <w:rPr>
          <w:rFonts w:hint="eastAsia" w:ascii="宋体" w:hAnsi="宋体" w:eastAsiaTheme="minorHAnsi" w:cstheme="minorBidi"/>
          <w:color w:val="000000" w:themeColor="text1"/>
          <w:highlight w:val="none"/>
          <w14:textFill>
            <w14:solidFill>
              <w14:schemeClr w14:val="tx1"/>
            </w14:solidFill>
          </w14:textFill>
        </w:rPr>
        <w:t>人，营业收入</w:t>
      </w:r>
      <w:r>
        <w:rPr>
          <w:rFonts w:hint="eastAsia" w:ascii="宋体" w:hAnsi="宋体" w:eastAsiaTheme="minorHAnsi" w:cstheme="minorBidi"/>
          <w:color w:val="000000" w:themeColor="text1"/>
          <w:highlight w:val="none"/>
          <w:u w:val="single"/>
          <w14:textFill>
            <w14:solidFill>
              <w14:schemeClr w14:val="tx1"/>
            </w14:solidFill>
          </w14:textFill>
        </w:rPr>
        <w:t xml:space="preserve">       </w:t>
      </w:r>
      <w:r>
        <w:rPr>
          <w:rFonts w:hint="eastAsia" w:ascii="宋体" w:hAnsi="宋体" w:eastAsiaTheme="minorHAnsi" w:cstheme="minorBidi"/>
          <w:color w:val="000000" w:themeColor="text1"/>
          <w:highlight w:val="none"/>
          <w14:textFill>
            <w14:solidFill>
              <w14:schemeClr w14:val="tx1"/>
            </w14:solidFill>
          </w14:textFill>
        </w:rPr>
        <w:t>万元，资产总额</w:t>
      </w:r>
      <w:r>
        <w:rPr>
          <w:rFonts w:hint="eastAsia" w:ascii="宋体" w:hAnsi="宋体" w:eastAsiaTheme="minorHAnsi" w:cstheme="minorBidi"/>
          <w:color w:val="000000" w:themeColor="text1"/>
          <w:highlight w:val="none"/>
          <w:u w:val="single"/>
          <w14:textFill>
            <w14:solidFill>
              <w14:schemeClr w14:val="tx1"/>
            </w14:solidFill>
          </w14:textFill>
        </w:rPr>
        <w:t xml:space="preserve">      </w:t>
      </w:r>
      <w:r>
        <w:rPr>
          <w:rFonts w:hint="eastAsia" w:ascii="宋体" w:hAnsi="宋体" w:eastAsiaTheme="minorHAnsi" w:cstheme="minorBidi"/>
          <w:color w:val="000000" w:themeColor="text1"/>
          <w:highlight w:val="none"/>
          <w14:textFill>
            <w14:solidFill>
              <w14:schemeClr w14:val="tx1"/>
            </w14:solidFill>
          </w14:textFill>
        </w:rPr>
        <w:t>万元，属于</w:t>
      </w:r>
      <w:r>
        <w:rPr>
          <w:rFonts w:hint="eastAsia" w:ascii="宋体" w:hAnsi="宋体" w:eastAsiaTheme="minorHAnsi" w:cstheme="minorBidi"/>
          <w:color w:val="000000" w:themeColor="text1"/>
          <w:highlight w:val="none"/>
          <w:u w:val="single"/>
          <w14:textFill>
            <w14:solidFill>
              <w14:schemeClr w14:val="tx1"/>
            </w14:solidFill>
          </w14:textFill>
        </w:rPr>
        <w:t xml:space="preserve"> （中型企业、小型企业、微型企业）       </w:t>
      </w:r>
      <w:r>
        <w:rPr>
          <w:rFonts w:hint="eastAsia" w:ascii="宋体" w:hAnsi="宋体" w:eastAsiaTheme="minorHAnsi" w:cstheme="minorBidi"/>
          <w:color w:val="000000" w:themeColor="text1"/>
          <w:highlight w:val="none"/>
          <w14:textFill>
            <w14:solidFill>
              <w14:schemeClr w14:val="tx1"/>
            </w14:solidFill>
          </w14:textFill>
        </w:rPr>
        <w:t>；</w:t>
      </w:r>
    </w:p>
    <w:p w14:paraId="495BE0EB">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eastAsiaTheme="minorHAnsi" w:cstheme="minorBidi"/>
          <w:color w:val="000000" w:themeColor="text1"/>
          <w:highlight w:val="none"/>
          <w14:textFill>
            <w14:solidFill>
              <w14:schemeClr w14:val="tx1"/>
            </w14:solidFill>
          </w14:textFill>
        </w:rPr>
        <w:t>2.</w:t>
      </w:r>
      <w:r>
        <w:rPr>
          <w:rFonts w:hint="eastAsia" w:ascii="宋体" w:hAnsi="宋体" w:eastAsiaTheme="minorHAnsi" w:cstheme="minorBidi"/>
          <w:color w:val="000000" w:themeColor="text1"/>
          <w:highlight w:val="none"/>
          <w:u w:val="single"/>
          <w14:textFill>
            <w14:solidFill>
              <w14:schemeClr w14:val="tx1"/>
            </w14:solidFill>
          </w14:textFill>
        </w:rPr>
        <w:t xml:space="preserve">（标的名称）        </w:t>
      </w:r>
      <w:r>
        <w:rPr>
          <w:rFonts w:hint="eastAsia" w:ascii="宋体" w:hAnsi="宋体" w:eastAsiaTheme="minorHAnsi" w:cstheme="minorBidi"/>
          <w:color w:val="000000" w:themeColor="text1"/>
          <w:highlight w:val="none"/>
          <w14:textFill>
            <w14:solidFill>
              <w14:schemeClr w14:val="tx1"/>
            </w14:solidFill>
          </w14:textFill>
        </w:rPr>
        <w:t>，属于</w:t>
      </w:r>
      <w:r>
        <w:rPr>
          <w:rFonts w:hint="eastAsia" w:ascii="宋体" w:hAnsi="宋体" w:eastAsiaTheme="minorHAnsi" w:cstheme="minorBidi"/>
          <w:color w:val="000000" w:themeColor="text1"/>
          <w:highlight w:val="none"/>
          <w:u w:val="single"/>
          <w14:textFill>
            <w14:solidFill>
              <w14:schemeClr w14:val="tx1"/>
            </w14:solidFill>
          </w14:textFill>
        </w:rPr>
        <w:t xml:space="preserve">  （采购文件中明确的所属行业） </w:t>
      </w:r>
      <w:r>
        <w:rPr>
          <w:rFonts w:hint="eastAsia" w:ascii="宋体" w:hAnsi="宋体" w:eastAsiaTheme="minorHAnsi" w:cstheme="minorBidi"/>
          <w:color w:val="000000" w:themeColor="text1"/>
          <w:highlight w:val="none"/>
          <w14:textFill>
            <w14:solidFill>
              <w14:schemeClr w14:val="tx1"/>
            </w14:solidFill>
          </w14:textFill>
        </w:rPr>
        <w:t>；承建（承接）企业为</w:t>
      </w:r>
      <w:r>
        <w:rPr>
          <w:rFonts w:hint="eastAsia" w:ascii="宋体" w:hAnsi="宋体" w:eastAsiaTheme="minorHAnsi" w:cstheme="minorBidi"/>
          <w:color w:val="000000" w:themeColor="text1"/>
          <w:highlight w:val="none"/>
          <w:u w:val="single"/>
          <w14:textFill>
            <w14:solidFill>
              <w14:schemeClr w14:val="tx1"/>
            </w14:solidFill>
          </w14:textFill>
        </w:rPr>
        <w:t xml:space="preserve"> （企业名称）</w:t>
      </w:r>
      <w:r>
        <w:rPr>
          <w:rFonts w:hint="eastAsia" w:ascii="宋体" w:hAnsi="宋体" w:eastAsiaTheme="minorHAnsi" w:cstheme="minorBidi"/>
          <w:color w:val="000000" w:themeColor="text1"/>
          <w:highlight w:val="none"/>
          <w14:textFill>
            <w14:solidFill>
              <w14:schemeClr w14:val="tx1"/>
            </w14:solidFill>
          </w14:textFill>
        </w:rPr>
        <w:t>，从业人员</w:t>
      </w:r>
      <w:r>
        <w:rPr>
          <w:rFonts w:hint="eastAsia" w:ascii="宋体" w:hAnsi="宋体" w:eastAsiaTheme="minorHAnsi" w:cstheme="minorBidi"/>
          <w:color w:val="000000" w:themeColor="text1"/>
          <w:highlight w:val="none"/>
          <w:u w:val="single"/>
          <w14:textFill>
            <w14:solidFill>
              <w14:schemeClr w14:val="tx1"/>
            </w14:solidFill>
          </w14:textFill>
        </w:rPr>
        <w:t xml:space="preserve">     </w:t>
      </w:r>
      <w:r>
        <w:rPr>
          <w:rFonts w:hint="eastAsia" w:ascii="宋体" w:hAnsi="宋体" w:eastAsiaTheme="minorHAnsi" w:cstheme="minorBidi"/>
          <w:color w:val="000000" w:themeColor="text1"/>
          <w:highlight w:val="none"/>
          <w14:textFill>
            <w14:solidFill>
              <w14:schemeClr w14:val="tx1"/>
            </w14:solidFill>
          </w14:textFill>
        </w:rPr>
        <w:t>人，营业收入</w:t>
      </w:r>
      <w:r>
        <w:rPr>
          <w:rFonts w:hint="eastAsia" w:ascii="宋体" w:hAnsi="宋体" w:eastAsiaTheme="minorHAnsi" w:cstheme="minorBidi"/>
          <w:color w:val="000000" w:themeColor="text1"/>
          <w:highlight w:val="none"/>
          <w:u w:val="single"/>
          <w14:textFill>
            <w14:solidFill>
              <w14:schemeClr w14:val="tx1"/>
            </w14:solidFill>
          </w14:textFill>
        </w:rPr>
        <w:t xml:space="preserve">       </w:t>
      </w:r>
      <w:r>
        <w:rPr>
          <w:rFonts w:hint="eastAsia" w:ascii="宋体" w:hAnsi="宋体" w:eastAsiaTheme="minorHAnsi" w:cstheme="minorBidi"/>
          <w:color w:val="000000" w:themeColor="text1"/>
          <w:highlight w:val="none"/>
          <w14:textFill>
            <w14:solidFill>
              <w14:schemeClr w14:val="tx1"/>
            </w14:solidFill>
          </w14:textFill>
        </w:rPr>
        <w:t>万元，资产总额</w:t>
      </w:r>
      <w:r>
        <w:rPr>
          <w:rFonts w:hint="eastAsia" w:ascii="宋体" w:hAnsi="宋体" w:eastAsiaTheme="minorHAnsi" w:cstheme="minorBidi"/>
          <w:color w:val="000000" w:themeColor="text1"/>
          <w:highlight w:val="none"/>
          <w:u w:val="single"/>
          <w14:textFill>
            <w14:solidFill>
              <w14:schemeClr w14:val="tx1"/>
            </w14:solidFill>
          </w14:textFill>
        </w:rPr>
        <w:t xml:space="preserve">      </w:t>
      </w:r>
      <w:r>
        <w:rPr>
          <w:rFonts w:hint="eastAsia" w:ascii="宋体" w:hAnsi="宋体" w:eastAsiaTheme="minorHAnsi" w:cstheme="minorBidi"/>
          <w:color w:val="000000" w:themeColor="text1"/>
          <w:highlight w:val="none"/>
          <w14:textFill>
            <w14:solidFill>
              <w14:schemeClr w14:val="tx1"/>
            </w14:solidFill>
          </w14:textFill>
        </w:rPr>
        <w:t>万元，属于</w:t>
      </w:r>
      <w:r>
        <w:rPr>
          <w:rFonts w:hint="eastAsia" w:ascii="宋体" w:hAnsi="宋体" w:eastAsiaTheme="minorHAnsi" w:cstheme="minorBidi"/>
          <w:color w:val="000000" w:themeColor="text1"/>
          <w:highlight w:val="none"/>
          <w:u w:val="single"/>
          <w14:textFill>
            <w14:solidFill>
              <w14:schemeClr w14:val="tx1"/>
            </w14:solidFill>
          </w14:textFill>
        </w:rPr>
        <w:t xml:space="preserve"> （中型企业、小型企业、微型企业）       </w:t>
      </w:r>
      <w:r>
        <w:rPr>
          <w:rFonts w:hint="eastAsia" w:ascii="宋体" w:hAnsi="宋体" w:eastAsiaTheme="minorHAnsi" w:cstheme="minorBidi"/>
          <w:color w:val="000000" w:themeColor="text1"/>
          <w:highlight w:val="none"/>
          <w14:textFill>
            <w14:solidFill>
              <w14:schemeClr w14:val="tx1"/>
            </w14:solidFill>
          </w14:textFill>
        </w:rPr>
        <w:t>；</w:t>
      </w:r>
    </w:p>
    <w:p w14:paraId="64D06A9D">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eastAsiaTheme="minorHAnsi" w:cstheme="minorBidi"/>
          <w:color w:val="000000" w:themeColor="text1"/>
          <w:highlight w:val="none"/>
          <w14:textFill>
            <w14:solidFill>
              <w14:schemeClr w14:val="tx1"/>
            </w14:solidFill>
          </w14:textFill>
        </w:rPr>
        <w:t>……</w:t>
      </w:r>
    </w:p>
    <w:p w14:paraId="2A9701AC">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以</w:t>
      </w:r>
      <w:r>
        <w:rPr>
          <w:rFonts w:hint="eastAsia" w:ascii="宋体" w:hAnsi="宋体" w:eastAsiaTheme="minorHAnsi" w:cstheme="minorBidi"/>
          <w:color w:val="000000" w:themeColor="text1"/>
          <w:highlight w:val="none"/>
          <w14:textFill>
            <w14:solidFill>
              <w14:schemeClr w14:val="tx1"/>
            </w14:solidFill>
          </w14:textFill>
        </w:rPr>
        <w:t>上企业，不属于大企业的分支机构，不存在控股股东为大企业的情形，也不存在与大企业的负责人为同一人的情形。</w:t>
      </w:r>
    </w:p>
    <w:p w14:paraId="7E27E7E4">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本</w:t>
      </w:r>
      <w:r>
        <w:rPr>
          <w:rFonts w:hint="eastAsia" w:ascii="宋体" w:hAnsi="宋体" w:eastAsiaTheme="minorHAnsi" w:cstheme="minorBidi"/>
          <w:color w:val="000000" w:themeColor="text1"/>
          <w:highlight w:val="none"/>
          <w14:textFill>
            <w14:solidFill>
              <w14:schemeClr w14:val="tx1"/>
            </w14:solidFill>
          </w14:textFill>
        </w:rPr>
        <w:t>企业对上述声明内容的真实性负责。如有虚假，将依法承担相应责任。</w:t>
      </w:r>
    </w:p>
    <w:p w14:paraId="5BF80FCF">
      <w:pPr>
        <w:widowControl/>
        <w:topLinePunct/>
        <w:spacing w:after="200" w:line="360" w:lineRule="auto"/>
        <w:ind w:firstLine="220" w:firstLineChars="0"/>
        <w:jc w:val="right"/>
        <w:rPr>
          <w:rFonts w:ascii="宋体" w:hAnsi="宋体" w:eastAsiaTheme="minorHAnsi" w:cstheme="minorBidi"/>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企</w:t>
      </w:r>
      <w:r>
        <w:rPr>
          <w:rFonts w:hint="eastAsia" w:ascii="宋体" w:hAnsi="宋体" w:eastAsiaTheme="minorHAnsi" w:cstheme="minorBidi"/>
          <w:color w:val="000000" w:themeColor="text1"/>
          <w:highlight w:val="none"/>
          <w14:textFill>
            <w14:solidFill>
              <w14:schemeClr w14:val="tx1"/>
            </w14:solidFill>
          </w14:textFill>
        </w:rPr>
        <w:t>业名称（盖章）：</w:t>
      </w:r>
    </w:p>
    <w:p w14:paraId="56836D50">
      <w:pPr>
        <w:widowControl/>
        <w:topLinePunct/>
        <w:spacing w:after="200" w:line="360" w:lineRule="auto"/>
        <w:ind w:firstLine="220" w:firstLineChars="0"/>
        <w:rPr>
          <w:rFonts w:ascii="宋体" w:hAnsi="宋体" w:eastAsiaTheme="minorHAnsi" w:cstheme="minorBidi"/>
          <w:color w:val="000000" w:themeColor="text1"/>
          <w:highlight w:val="none"/>
          <w14:textFill>
            <w14:solidFill>
              <w14:schemeClr w14:val="tx1"/>
            </w14:solidFill>
          </w14:textFill>
        </w:rPr>
      </w:pPr>
      <w:r>
        <w:rPr>
          <w:rFonts w:hint="eastAsia" w:ascii="宋体" w:hAnsi="宋体" w:eastAsiaTheme="minorHAnsi" w:cstheme="minorBidi"/>
          <w:color w:val="000000" w:themeColor="text1"/>
          <w:highlight w:val="none"/>
          <w14:textFill>
            <w14:solidFill>
              <w14:schemeClr w14:val="tx1"/>
            </w14:solidFill>
          </w14:textFill>
        </w:rPr>
        <w:t xml:space="preserve">                                               日  期：</w:t>
      </w:r>
    </w:p>
    <w:p w14:paraId="0B056C3C">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w:t>
      </w:r>
      <w:r>
        <w:rPr>
          <w:rFonts w:hint="eastAsia" w:ascii="宋体" w:hAnsi="宋体" w:eastAsiaTheme="minorHAnsi" w:cstheme="minorBidi"/>
          <w:color w:val="000000" w:themeColor="text1"/>
          <w:highlight w:val="none"/>
          <w14:textFill>
            <w14:solidFill>
              <w14:schemeClr w14:val="tx1"/>
            </w14:solidFill>
          </w14:textFill>
        </w:rPr>
        <w:t>：1、从业人员、营业收入填报上一年度数据，无上一年度数据的新成立企业可不填报。</w:t>
      </w:r>
    </w:p>
    <w:p w14:paraId="6A15E8ED">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eastAsiaTheme="minorHAnsi" w:cstheme="minorBidi"/>
          <w:color w:val="000000" w:themeColor="text1"/>
          <w:highlight w:val="none"/>
          <w14:textFill>
            <w14:solidFill>
              <w14:schemeClr w14:val="tx1"/>
            </w14:solidFill>
          </w14:textFill>
        </w:rPr>
        <w:t>2、供应商如不提供此声明函，价格将不做相应扣除。</w:t>
      </w:r>
    </w:p>
    <w:p w14:paraId="6595AF9A">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eastAsiaTheme="minorHAnsi" w:cstheme="minorBidi"/>
          <w:color w:val="000000" w:themeColor="text1"/>
          <w:highlight w:val="none"/>
          <w14:textFill>
            <w14:solidFill>
              <w14:schemeClr w14:val="tx1"/>
            </w14:solidFill>
          </w14:textFill>
        </w:rPr>
        <w:t>3、供应商提供的声明函内容不实的，属于提供虚假材料谋取中标，依照《中华人民共和国政府采购法》等国家有关规定追究相应责任。</w:t>
      </w:r>
    </w:p>
    <w:p w14:paraId="3A7E892D">
      <w:pPr>
        <w:widowControl/>
        <w:topLinePunct/>
        <w:spacing w:after="200" w:line="360" w:lineRule="auto"/>
        <w:ind w:firstLine="220" w:firstLineChars="0"/>
        <w:rPr>
          <w:rFonts w:ascii="宋体" w:hAnsi="宋体" w:eastAsiaTheme="minorHAnsi" w:cstheme="minorBidi"/>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服</w:t>
      </w:r>
      <w:r>
        <w:rPr>
          <w:rFonts w:hint="eastAsia" w:ascii="宋体" w:hAnsi="宋体" w:eastAsiaTheme="minorHAnsi" w:cstheme="minorBidi"/>
          <w:b/>
          <w:bCs/>
          <w:color w:val="000000" w:themeColor="text1"/>
          <w:sz w:val="28"/>
          <w:szCs w:val="28"/>
          <w:highlight w:val="none"/>
          <w14:textFill>
            <w14:solidFill>
              <w14:schemeClr w14:val="tx1"/>
            </w14:solidFill>
          </w14:textFill>
        </w:rPr>
        <w:t>务承诺书</w:t>
      </w:r>
    </w:p>
    <w:p w14:paraId="23616235">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致</w:t>
      </w:r>
      <w:r>
        <w:rPr>
          <w:rFonts w:hint="eastAsia" w:ascii="宋体" w:hAnsi="宋体" w:eastAsiaTheme="minorHAnsi" w:cstheme="minorBidi"/>
          <w:color w:val="000000" w:themeColor="text1"/>
          <w:highlight w:val="none"/>
          <w14:textFill>
            <w14:solidFill>
              <w14:schemeClr w14:val="tx1"/>
            </w14:solidFill>
          </w14:textFill>
        </w:rPr>
        <w:t>：______ （采购人）</w:t>
      </w:r>
    </w:p>
    <w:p w14:paraId="6A016371">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根</w:t>
      </w:r>
      <w:r>
        <w:rPr>
          <w:rFonts w:hint="eastAsia" w:ascii="宋体" w:hAnsi="宋体" w:eastAsiaTheme="minorHAnsi" w:cstheme="minorBidi"/>
          <w:color w:val="000000" w:themeColor="text1"/>
          <w:highlight w:val="none"/>
          <w14:textFill>
            <w14:solidFill>
              <w14:schemeClr w14:val="tx1"/>
            </w14:solidFill>
          </w14:textFill>
        </w:rPr>
        <w:t>据贵方招标编号为______的____________项目的招标文件要求，为保质保量顺利完成该项目，我方从服务质量、工期、人员投入、设备投入、售后服务等方面作出承诺：</w:t>
      </w:r>
    </w:p>
    <w:p w14:paraId="5250DE3C">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服</w:t>
      </w:r>
      <w:r>
        <w:rPr>
          <w:rFonts w:hint="eastAsia" w:ascii="宋体" w:hAnsi="宋体" w:eastAsiaTheme="minorHAnsi" w:cstheme="minorBidi"/>
          <w:color w:val="000000" w:themeColor="text1"/>
          <w:highlight w:val="none"/>
          <w14:textFill>
            <w14:solidFill>
              <w14:schemeClr w14:val="tx1"/>
            </w14:solidFill>
          </w14:textFill>
        </w:rPr>
        <w:t>务质量承诺：我方承诺按照招标内容及要求开展工作，以国家相关技术标准及国内外通行技术规范为指导，以现场实际情况、委托方提供的相关资料、数据、图件等为基础，经过专业分析与判断编制工作方案。根据确定的工作方案组织开展现场勘查、采样、数据分析及风险评估等工作，保证项目各阶段成果质量满足要求且通过专家评审。</w:t>
      </w:r>
    </w:p>
    <w:p w14:paraId="036A8B21">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工</w:t>
      </w:r>
      <w:r>
        <w:rPr>
          <w:rFonts w:hint="eastAsia" w:ascii="宋体" w:hAnsi="宋体" w:eastAsiaTheme="minorHAnsi" w:cstheme="minorBidi"/>
          <w:color w:val="000000" w:themeColor="text1"/>
          <w:highlight w:val="none"/>
          <w14:textFill>
            <w14:solidFill>
              <w14:schemeClr w14:val="tx1"/>
            </w14:solidFill>
          </w14:textFill>
        </w:rPr>
        <w:t>期承诺：我方一旦中标，将立即开始工作部署，保证在优于项目工期要求的时间内完成项目。</w:t>
      </w:r>
    </w:p>
    <w:p w14:paraId="2968109C">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人</w:t>
      </w:r>
      <w:r>
        <w:rPr>
          <w:rFonts w:hint="eastAsia" w:ascii="宋体" w:hAnsi="宋体" w:eastAsiaTheme="minorHAnsi" w:cstheme="minorBidi"/>
          <w:color w:val="000000" w:themeColor="text1"/>
          <w:highlight w:val="none"/>
          <w14:textFill>
            <w14:solidFill>
              <w14:schemeClr w14:val="tx1"/>
            </w14:solidFill>
          </w14:textFill>
        </w:rPr>
        <w:t>员投入承诺：根据项目要求，我方承诺一旦中标，按照工作进度和工作要求，成立由项目负责人、技术负责人以及各部门组成的项目领导小组，保证项目所需人员投入，按期完成工作内容，并根据需要聘请技术顾问，项目组要自觉接受有关部门的检查和监督，包括项目实际执行情况、各类资料的齐全程度和质量情况以及工作进展、质量管理等。</w:t>
      </w:r>
    </w:p>
    <w:p w14:paraId="1851FD2D">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设</w:t>
      </w:r>
      <w:r>
        <w:rPr>
          <w:rFonts w:hint="eastAsia" w:ascii="宋体" w:hAnsi="宋体" w:eastAsiaTheme="minorHAnsi" w:cstheme="minorBidi"/>
          <w:color w:val="000000" w:themeColor="text1"/>
          <w:highlight w:val="none"/>
          <w14:textFill>
            <w14:solidFill>
              <w14:schemeClr w14:val="tx1"/>
            </w14:solidFill>
          </w14:textFill>
        </w:rPr>
        <w:t>备投入：根据项目要求，我方承诺一旦中标，按照工作量，自行准备工作所需的各项软硬件设备，积极投入各种项目实施所必须的设备，以保证项目顺利实施。</w:t>
      </w:r>
    </w:p>
    <w:p w14:paraId="1C6A6C49">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售</w:t>
      </w:r>
      <w:r>
        <w:rPr>
          <w:rFonts w:hint="eastAsia" w:ascii="宋体" w:hAnsi="宋体" w:eastAsiaTheme="minorHAnsi" w:cstheme="minorBidi"/>
          <w:color w:val="000000" w:themeColor="text1"/>
          <w:highlight w:val="none"/>
          <w14:textFill>
            <w14:solidFill>
              <w14:schemeClr w14:val="tx1"/>
            </w14:solidFill>
          </w14:textFill>
        </w:rPr>
        <w:t>后服务承诺</w:t>
      </w:r>
    </w:p>
    <w:p w14:paraId="39C8E431">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我</w:t>
      </w:r>
      <w:r>
        <w:rPr>
          <w:rFonts w:hint="eastAsia" w:ascii="宋体" w:hAnsi="宋体" w:eastAsiaTheme="minorHAnsi" w:cstheme="minorBidi"/>
          <w:color w:val="000000" w:themeColor="text1"/>
          <w:highlight w:val="none"/>
          <w14:textFill>
            <w14:solidFill>
              <w14:schemeClr w14:val="tx1"/>
            </w14:solidFill>
          </w14:textFill>
        </w:rPr>
        <w:t>方承诺在向采购人提交集成成果后，根据采购人的请求，为采购人提供项目后续服务。具体包括：</w:t>
      </w:r>
    </w:p>
    <w:p w14:paraId="6AE70410">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eastAsiaTheme="minorHAnsi" w:cstheme="minorBidi"/>
          <w:color w:val="000000" w:themeColor="text1"/>
          <w:highlight w:val="none"/>
          <w14:textFill>
            <w14:solidFill>
              <w14:schemeClr w14:val="tx1"/>
            </w14:solidFill>
          </w14:textFill>
        </w:rPr>
        <w:t>a.按业主及专家要求对项目服务过程中产生的所有成果进行修改或提炼，以满足相关方要求；</w:t>
      </w:r>
    </w:p>
    <w:p w14:paraId="3B93D8F7">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eastAsiaTheme="minorHAnsi" w:cstheme="minorBidi"/>
          <w:color w:val="000000" w:themeColor="text1"/>
          <w:highlight w:val="none"/>
          <w14:textFill>
            <w14:solidFill>
              <w14:schemeClr w14:val="tx1"/>
            </w14:solidFill>
          </w14:textFill>
        </w:rPr>
        <w:t>b.服务期限内按采购人相关要求提供环境管理建议。</w:t>
      </w:r>
    </w:p>
    <w:p w14:paraId="31F75F03">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w:t>
      </w:r>
      <w:r>
        <w:rPr>
          <w:rFonts w:hint="eastAsia" w:ascii="宋体" w:hAnsi="宋体" w:eastAsiaTheme="minorHAnsi" w:cstheme="minorBidi"/>
          <w:color w:val="000000" w:themeColor="text1"/>
          <w:highlight w:val="none"/>
          <w14:textFill>
            <w14:solidFill>
              <w14:schemeClr w14:val="tx1"/>
            </w14:solidFill>
          </w14:textFill>
        </w:rPr>
        <w:t>目提炼成果：根据生态环境部地下水污染管控修复试点工作要求，总结提炼项目调查成果，包括但不限于调查技术、管控修复技术、先进设备应用、地下水管控修复体系等，形成可复制可推广经验、技术总结。</w:t>
      </w:r>
    </w:p>
    <w:p w14:paraId="7A04C36A">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特</w:t>
      </w:r>
      <w:r>
        <w:rPr>
          <w:rFonts w:hint="eastAsia" w:ascii="宋体" w:hAnsi="宋体" w:eastAsiaTheme="minorHAnsi" w:cstheme="minorBidi"/>
          <w:color w:val="000000" w:themeColor="text1"/>
          <w:highlight w:val="none"/>
          <w14:textFill>
            <w14:solidFill>
              <w14:schemeClr w14:val="tx1"/>
            </w14:solidFill>
          </w14:textFill>
        </w:rPr>
        <w:t>此承诺。</w:t>
      </w:r>
    </w:p>
    <w:p w14:paraId="23C9A4BB">
      <w:pPr>
        <w:widowControl/>
        <w:topLinePunct/>
        <w:spacing w:after="200" w:line="360" w:lineRule="auto"/>
        <w:ind w:firstLine="220" w:firstLineChars="0"/>
        <w:jc w:val="left"/>
        <w:rPr>
          <w:rFonts w:ascii="宋体" w:hAnsi="宋体" w:eastAsiaTheme="minorHAnsi" w:cstheme="minorBidi"/>
          <w:color w:val="000000" w:themeColor="text1"/>
          <w:sz w:val="22"/>
          <w:szCs w:val="21"/>
          <w:highlight w:val="none"/>
          <w14:textFill>
            <w14:solidFill>
              <w14:schemeClr w14:val="tx1"/>
            </w14:solidFill>
          </w14:textFill>
        </w:rPr>
      </w:pPr>
    </w:p>
    <w:p w14:paraId="09C17114">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w:t>
      </w:r>
      <w:r>
        <w:rPr>
          <w:rFonts w:hint="eastAsia" w:ascii="宋体" w:hAnsi="宋体" w:eastAsiaTheme="minorHAnsi" w:cstheme="minorBidi"/>
          <w:color w:val="000000" w:themeColor="text1"/>
          <w:highlight w:val="none"/>
          <w14:textFill>
            <w14:solidFill>
              <w14:schemeClr w14:val="tx1"/>
            </w14:solidFill>
          </w14:textFill>
        </w:rPr>
        <w:t>标人名称：                        (加盖电子公章)</w:t>
      </w:r>
    </w:p>
    <w:p w14:paraId="5D1BC941">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法</w:t>
      </w:r>
      <w:r>
        <w:rPr>
          <w:rFonts w:hint="eastAsia" w:ascii="宋体" w:hAnsi="宋体" w:eastAsiaTheme="minorHAnsi" w:cstheme="minorBidi"/>
          <w:color w:val="000000" w:themeColor="text1"/>
          <w:highlight w:val="none"/>
          <w14:textFill>
            <w14:solidFill>
              <w14:schemeClr w14:val="tx1"/>
            </w14:solidFill>
          </w14:textFill>
        </w:rPr>
        <w:t xml:space="preserve">定代表人或委托代理人：           （电子签名/签章） </w:t>
      </w:r>
    </w:p>
    <w:p w14:paraId="0E04BD46">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日</w:t>
      </w:r>
      <w:r>
        <w:rPr>
          <w:rFonts w:hint="eastAsia" w:ascii="宋体" w:hAnsi="宋体" w:eastAsiaTheme="minorHAnsi" w:cstheme="minorBidi"/>
          <w:color w:val="000000" w:themeColor="text1"/>
          <w:highlight w:val="none"/>
          <w14:textFill>
            <w14:solidFill>
              <w14:schemeClr w14:val="tx1"/>
            </w14:solidFill>
          </w14:textFill>
        </w:rPr>
        <w:t xml:space="preserve">期：  2025年    月     日  </w:t>
      </w:r>
    </w:p>
    <w:p w14:paraId="66DDE72A">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r>
      <w:r>
        <w:rPr>
          <w:rFonts w:hint="eastAsia" w:ascii="宋体" w:hAnsi="宋体" w:eastAsiaTheme="minorHAnsi" w:cstheme="minorBidi"/>
          <w:color w:val="000000" w:themeColor="text1"/>
          <w:highlight w:val="none"/>
          <w14:textFill>
            <w14:solidFill>
              <w14:schemeClr w14:val="tx1"/>
            </w14:solidFill>
          </w14:textFill>
        </w:rPr>
        <w:t>3.6采购需求响应表（格式自拟）</w:t>
      </w:r>
    </w:p>
    <w:p w14:paraId="69FA340F">
      <w:pPr>
        <w:widowControl/>
        <w:topLinePunct/>
        <w:spacing w:after="200" w:line="360" w:lineRule="auto"/>
        <w:ind w:firstLine="220" w:firstLineChars="0"/>
        <w:jc w:val="left"/>
        <w:rPr>
          <w:rFonts w:ascii="宋体" w:hAnsi="宋体" w:eastAsiaTheme="minorHAnsi" w:cstheme="minorBidi"/>
          <w:color w:val="000000" w:themeColor="text1"/>
          <w:highlight w:val="none"/>
          <w14:textFill>
            <w14:solidFill>
              <w14:schemeClr w14:val="tx1"/>
            </w14:solidFill>
          </w14:textFill>
        </w:rPr>
      </w:pPr>
      <w:r>
        <w:rPr>
          <w:rFonts w:hint="eastAsia" w:ascii="宋体" w:hAnsi="宋体" w:eastAsiaTheme="minorHAnsi" w:cstheme="minorBidi"/>
          <w:color w:val="000000" w:themeColor="text1"/>
          <w:highlight w:val="none"/>
          <w14:textFill>
            <w14:solidFill>
              <w14:schemeClr w14:val="tx1"/>
            </w14:solidFill>
          </w14:textFill>
        </w:rPr>
        <w:t>3.7对照第三章 资格审查及评标办法，认为应列入投标文件的其他材料。</w:t>
      </w:r>
      <w:bookmarkEnd w:id="10"/>
    </w:p>
    <w:sectPr>
      <w:headerReference r:id="rId7" w:type="first"/>
      <w:footerReference r:id="rId10" w:type="first"/>
      <w:headerReference r:id="rId5" w:type="default"/>
      <w:footerReference r:id="rId8" w:type="default"/>
      <w:headerReference r:id="rId6" w:type="even"/>
      <w:footerReference r:id="rId9" w:type="even"/>
      <w:pgSz w:w="11906" w:h="16838"/>
      <w:pgMar w:top="1440" w:right="1247" w:bottom="1440" w:left="1474" w:header="851" w:footer="340" w:gutter="0"/>
      <w:cols w:space="425"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4"/>
      </w:pPr>
      <w:r>
        <w:separator/>
      </w:r>
    </w:p>
  </w:endnote>
  <w:endnote w:type="continuationSeparator" w:id="1">
    <w:p>
      <w:pPr>
        <w:spacing w:line="240" w:lineRule="auto"/>
        <w:ind w:firstLine="424"/>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60973525"/>
    </w:sdtPr>
    <w:sdtContent>
      <w:p w14:paraId="243A38AE">
        <w:pPr>
          <w:pStyle w:val="16"/>
          <w:ind w:firstLine="319"/>
        </w:pPr>
        <w:r>
          <w:fldChar w:fldCharType="begin"/>
        </w:r>
        <w:r>
          <w:instrText xml:space="preserve">PAGE   \* MERGEFORMAT</w:instrText>
        </w:r>
        <w:r>
          <w:fldChar w:fldCharType="separate"/>
        </w:r>
        <w:r>
          <w:rPr>
            <w:lang w:val="zh-CN"/>
          </w:rPr>
          <w:t>18</w:t>
        </w:r>
        <w:r>
          <w:rPr>
            <w:lang w:val="zh-CN"/>
          </w:rPr>
          <w:fldChar w:fldCharType="end"/>
        </w:r>
      </w:p>
    </w:sdtContent>
  </w:sdt>
  <w:p w14:paraId="689D310B"/>
  <w:p w14:paraId="716F57EC"/>
  <w:p w14:paraId="578CEC46"/>
  <w:p w14:paraId="545116D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C1D327">
    <w:pPr>
      <w:pStyle w:val="16"/>
      <w:ind w:firstLine="319"/>
    </w:pPr>
  </w:p>
  <w:p w14:paraId="31CE38A4"/>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8E2EBE">
    <w:pPr>
      <w:pStyle w:val="16"/>
      <w:ind w:firstLine="31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4"/>
      </w:pPr>
      <w:r>
        <w:separator/>
      </w:r>
    </w:p>
  </w:footnote>
  <w:footnote w:type="continuationSeparator" w:id="1">
    <w:p>
      <w:pPr>
        <w:spacing w:line="240" w:lineRule="auto"/>
        <w:ind w:firstLine="424"/>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B1072F">
    <w:pPr>
      <w:pStyle w:val="17"/>
      <w:ind w:firstLine="319"/>
    </w:pPr>
  </w:p>
  <w:p w14:paraId="466D9A9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5278AC">
    <w:pPr>
      <w:pStyle w:val="17"/>
      <w:ind w:firstLine="319"/>
    </w:pPr>
  </w:p>
  <w:p w14:paraId="3DEC433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579CD">
    <w:pPr>
      <w:pStyle w:val="17"/>
      <w:ind w:firstLine="31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0A1AEE"/>
    <w:multiLevelType w:val="multilevel"/>
    <w:tmpl w:val="220A1AEE"/>
    <w:lvl w:ilvl="0" w:tentative="0">
      <w:start w:val="1"/>
      <w:numFmt w:val="decimal"/>
      <w:lvlText w:val="%1"/>
      <w:lvlJc w:val="left"/>
      <w:pPr>
        <w:ind w:left="420" w:hanging="420"/>
      </w:pPr>
      <w:rPr>
        <w:rFonts w:hint="eastAsia"/>
      </w:rPr>
    </w:lvl>
    <w:lvl w:ilvl="1" w:tentative="0">
      <w:start w:val="1"/>
      <w:numFmt w:val="lowerLetter"/>
      <w:pStyle w:val="49"/>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4F7E66E3"/>
    <w:multiLevelType w:val="singleLevel"/>
    <w:tmpl w:val="4F7E66E3"/>
    <w:lvl w:ilvl="0" w:tentative="0">
      <w:start w:val="6"/>
      <w:numFmt w:val="chineseCounting"/>
      <w:suff w:val="space"/>
      <w:lvlText w:val="第%1条"/>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revisionView w:markup="0"/>
  <w:trackRevisions w:val="1"/>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I3YjRiZjQzNzgzNDU4NDg2ODg5ZDg5ZWIzZTU0MTUifQ=="/>
  </w:docVars>
  <w:rsids>
    <w:rsidRoot w:val="00F24CD4"/>
    <w:rsid w:val="00000344"/>
    <w:rsid w:val="00000D35"/>
    <w:rsid w:val="00003781"/>
    <w:rsid w:val="00003E79"/>
    <w:rsid w:val="00016641"/>
    <w:rsid w:val="0001772C"/>
    <w:rsid w:val="00024F0F"/>
    <w:rsid w:val="00030D30"/>
    <w:rsid w:val="0003267F"/>
    <w:rsid w:val="00041934"/>
    <w:rsid w:val="00043855"/>
    <w:rsid w:val="00043A56"/>
    <w:rsid w:val="00044D87"/>
    <w:rsid w:val="00045732"/>
    <w:rsid w:val="000523FA"/>
    <w:rsid w:val="00056186"/>
    <w:rsid w:val="00056D7A"/>
    <w:rsid w:val="00061954"/>
    <w:rsid w:val="00062627"/>
    <w:rsid w:val="0006388E"/>
    <w:rsid w:val="0006601B"/>
    <w:rsid w:val="00067B65"/>
    <w:rsid w:val="00081434"/>
    <w:rsid w:val="00084A19"/>
    <w:rsid w:val="000902C8"/>
    <w:rsid w:val="00091566"/>
    <w:rsid w:val="0009699F"/>
    <w:rsid w:val="000A0E3B"/>
    <w:rsid w:val="000A5560"/>
    <w:rsid w:val="000A6F54"/>
    <w:rsid w:val="000B01E4"/>
    <w:rsid w:val="000B36D7"/>
    <w:rsid w:val="000B525A"/>
    <w:rsid w:val="000C7ECE"/>
    <w:rsid w:val="000D0035"/>
    <w:rsid w:val="000E296C"/>
    <w:rsid w:val="000F02B8"/>
    <w:rsid w:val="000F07AA"/>
    <w:rsid w:val="000F2729"/>
    <w:rsid w:val="000F4C80"/>
    <w:rsid w:val="000F7203"/>
    <w:rsid w:val="001008A1"/>
    <w:rsid w:val="00104B94"/>
    <w:rsid w:val="00110658"/>
    <w:rsid w:val="00114A5C"/>
    <w:rsid w:val="00121DDC"/>
    <w:rsid w:val="00130DF9"/>
    <w:rsid w:val="00132763"/>
    <w:rsid w:val="00134057"/>
    <w:rsid w:val="001362FE"/>
    <w:rsid w:val="001371FD"/>
    <w:rsid w:val="0014184A"/>
    <w:rsid w:val="00147B7A"/>
    <w:rsid w:val="00150FED"/>
    <w:rsid w:val="00154E74"/>
    <w:rsid w:val="00156928"/>
    <w:rsid w:val="0016448A"/>
    <w:rsid w:val="0016789D"/>
    <w:rsid w:val="00173B6C"/>
    <w:rsid w:val="001749B6"/>
    <w:rsid w:val="0017591F"/>
    <w:rsid w:val="00175F76"/>
    <w:rsid w:val="00177EE0"/>
    <w:rsid w:val="001802BF"/>
    <w:rsid w:val="00183B47"/>
    <w:rsid w:val="0019223D"/>
    <w:rsid w:val="001946E2"/>
    <w:rsid w:val="0019762C"/>
    <w:rsid w:val="001A071D"/>
    <w:rsid w:val="001A4844"/>
    <w:rsid w:val="001A4B04"/>
    <w:rsid w:val="001A65D1"/>
    <w:rsid w:val="001B0F8B"/>
    <w:rsid w:val="001C3EE0"/>
    <w:rsid w:val="001C48F9"/>
    <w:rsid w:val="001C56CE"/>
    <w:rsid w:val="001D076C"/>
    <w:rsid w:val="001E276B"/>
    <w:rsid w:val="001F080E"/>
    <w:rsid w:val="001F1C95"/>
    <w:rsid w:val="001F3FFA"/>
    <w:rsid w:val="001F6455"/>
    <w:rsid w:val="00203646"/>
    <w:rsid w:val="002063F5"/>
    <w:rsid w:val="00220DE6"/>
    <w:rsid w:val="0022576E"/>
    <w:rsid w:val="00227598"/>
    <w:rsid w:val="002275EF"/>
    <w:rsid w:val="00234F10"/>
    <w:rsid w:val="0023667A"/>
    <w:rsid w:val="00242E7C"/>
    <w:rsid w:val="00252554"/>
    <w:rsid w:val="00254312"/>
    <w:rsid w:val="002562A9"/>
    <w:rsid w:val="00260516"/>
    <w:rsid w:val="00260CE9"/>
    <w:rsid w:val="0026384B"/>
    <w:rsid w:val="00270BE5"/>
    <w:rsid w:val="00271274"/>
    <w:rsid w:val="00274C87"/>
    <w:rsid w:val="00281479"/>
    <w:rsid w:val="002928A1"/>
    <w:rsid w:val="00293411"/>
    <w:rsid w:val="002A0AD7"/>
    <w:rsid w:val="002A49B3"/>
    <w:rsid w:val="002A5D46"/>
    <w:rsid w:val="002C1E07"/>
    <w:rsid w:val="002C5D00"/>
    <w:rsid w:val="002D5D22"/>
    <w:rsid w:val="002D60B6"/>
    <w:rsid w:val="002E2546"/>
    <w:rsid w:val="002F1D5C"/>
    <w:rsid w:val="002F362E"/>
    <w:rsid w:val="00306291"/>
    <w:rsid w:val="00307626"/>
    <w:rsid w:val="00310FFB"/>
    <w:rsid w:val="00321BEE"/>
    <w:rsid w:val="003225BB"/>
    <w:rsid w:val="0032680C"/>
    <w:rsid w:val="003340F4"/>
    <w:rsid w:val="0033630F"/>
    <w:rsid w:val="00336B6A"/>
    <w:rsid w:val="003521BF"/>
    <w:rsid w:val="003637D2"/>
    <w:rsid w:val="003740A2"/>
    <w:rsid w:val="00375B41"/>
    <w:rsid w:val="0037724D"/>
    <w:rsid w:val="003805D0"/>
    <w:rsid w:val="00381B03"/>
    <w:rsid w:val="00393E78"/>
    <w:rsid w:val="003A17E1"/>
    <w:rsid w:val="003A17EC"/>
    <w:rsid w:val="003A2119"/>
    <w:rsid w:val="003A2CB1"/>
    <w:rsid w:val="003A38AA"/>
    <w:rsid w:val="003A6119"/>
    <w:rsid w:val="003A798E"/>
    <w:rsid w:val="003B5526"/>
    <w:rsid w:val="003B6325"/>
    <w:rsid w:val="003B6A16"/>
    <w:rsid w:val="003C1E7E"/>
    <w:rsid w:val="003D00F1"/>
    <w:rsid w:val="003D54D4"/>
    <w:rsid w:val="003E2E15"/>
    <w:rsid w:val="003E31C2"/>
    <w:rsid w:val="003E3747"/>
    <w:rsid w:val="003E75F6"/>
    <w:rsid w:val="003F3C15"/>
    <w:rsid w:val="003F4A6D"/>
    <w:rsid w:val="00416807"/>
    <w:rsid w:val="00416E54"/>
    <w:rsid w:val="004202FE"/>
    <w:rsid w:val="004227B7"/>
    <w:rsid w:val="00422F99"/>
    <w:rsid w:val="00430AF6"/>
    <w:rsid w:val="00430C4D"/>
    <w:rsid w:val="0043186A"/>
    <w:rsid w:val="004513A9"/>
    <w:rsid w:val="00454710"/>
    <w:rsid w:val="00463F0E"/>
    <w:rsid w:val="00464201"/>
    <w:rsid w:val="004717F5"/>
    <w:rsid w:val="00474855"/>
    <w:rsid w:val="004825D9"/>
    <w:rsid w:val="0048312E"/>
    <w:rsid w:val="00483297"/>
    <w:rsid w:val="00487A3C"/>
    <w:rsid w:val="00492CB3"/>
    <w:rsid w:val="00495D48"/>
    <w:rsid w:val="00496D1D"/>
    <w:rsid w:val="004A096F"/>
    <w:rsid w:val="004A133D"/>
    <w:rsid w:val="004A1E85"/>
    <w:rsid w:val="004A2D6A"/>
    <w:rsid w:val="004A3F1F"/>
    <w:rsid w:val="004C1448"/>
    <w:rsid w:val="004C266E"/>
    <w:rsid w:val="004C2E01"/>
    <w:rsid w:val="004C3835"/>
    <w:rsid w:val="004D1A7D"/>
    <w:rsid w:val="004E250C"/>
    <w:rsid w:val="004E3E97"/>
    <w:rsid w:val="004E6288"/>
    <w:rsid w:val="004E637D"/>
    <w:rsid w:val="004E6AF7"/>
    <w:rsid w:val="004F674A"/>
    <w:rsid w:val="004F7ABD"/>
    <w:rsid w:val="00501F11"/>
    <w:rsid w:val="00507823"/>
    <w:rsid w:val="00511A86"/>
    <w:rsid w:val="0051218D"/>
    <w:rsid w:val="00522103"/>
    <w:rsid w:val="0052487E"/>
    <w:rsid w:val="00526D7B"/>
    <w:rsid w:val="00532CCE"/>
    <w:rsid w:val="0053456B"/>
    <w:rsid w:val="00534A7D"/>
    <w:rsid w:val="00542763"/>
    <w:rsid w:val="005436A5"/>
    <w:rsid w:val="00544AF6"/>
    <w:rsid w:val="005453AE"/>
    <w:rsid w:val="00545818"/>
    <w:rsid w:val="00545F0C"/>
    <w:rsid w:val="00547229"/>
    <w:rsid w:val="00562B2E"/>
    <w:rsid w:val="00563375"/>
    <w:rsid w:val="00564C48"/>
    <w:rsid w:val="005670C0"/>
    <w:rsid w:val="0056756E"/>
    <w:rsid w:val="00571146"/>
    <w:rsid w:val="005734BD"/>
    <w:rsid w:val="00573FC2"/>
    <w:rsid w:val="00574C22"/>
    <w:rsid w:val="005845F5"/>
    <w:rsid w:val="005857A1"/>
    <w:rsid w:val="00594DA5"/>
    <w:rsid w:val="005A1640"/>
    <w:rsid w:val="005B1F62"/>
    <w:rsid w:val="005B2257"/>
    <w:rsid w:val="005B4365"/>
    <w:rsid w:val="005B6364"/>
    <w:rsid w:val="005B71C4"/>
    <w:rsid w:val="005C1296"/>
    <w:rsid w:val="005C3349"/>
    <w:rsid w:val="005C3762"/>
    <w:rsid w:val="005C7B81"/>
    <w:rsid w:val="005D62FA"/>
    <w:rsid w:val="005E70C8"/>
    <w:rsid w:val="005E7D21"/>
    <w:rsid w:val="005F2820"/>
    <w:rsid w:val="006014AB"/>
    <w:rsid w:val="00602CA6"/>
    <w:rsid w:val="00602CB8"/>
    <w:rsid w:val="00604211"/>
    <w:rsid w:val="006049CB"/>
    <w:rsid w:val="00605674"/>
    <w:rsid w:val="0060713B"/>
    <w:rsid w:val="006168A6"/>
    <w:rsid w:val="00617AB9"/>
    <w:rsid w:val="00621EDA"/>
    <w:rsid w:val="00632DC7"/>
    <w:rsid w:val="006330DF"/>
    <w:rsid w:val="00633ECB"/>
    <w:rsid w:val="006375D2"/>
    <w:rsid w:val="00641513"/>
    <w:rsid w:val="00642C8E"/>
    <w:rsid w:val="00644F30"/>
    <w:rsid w:val="00647AF0"/>
    <w:rsid w:val="0065076A"/>
    <w:rsid w:val="00650B20"/>
    <w:rsid w:val="006556E6"/>
    <w:rsid w:val="00660032"/>
    <w:rsid w:val="00660A37"/>
    <w:rsid w:val="0066308B"/>
    <w:rsid w:val="00675F4F"/>
    <w:rsid w:val="006829F3"/>
    <w:rsid w:val="00682A38"/>
    <w:rsid w:val="00682B15"/>
    <w:rsid w:val="00685F9A"/>
    <w:rsid w:val="0068690C"/>
    <w:rsid w:val="006918BF"/>
    <w:rsid w:val="006946D1"/>
    <w:rsid w:val="00696C1C"/>
    <w:rsid w:val="006A0F7E"/>
    <w:rsid w:val="006A35DB"/>
    <w:rsid w:val="006A4124"/>
    <w:rsid w:val="006A62B1"/>
    <w:rsid w:val="006B2563"/>
    <w:rsid w:val="006C227F"/>
    <w:rsid w:val="006D1573"/>
    <w:rsid w:val="006D575B"/>
    <w:rsid w:val="006E23DF"/>
    <w:rsid w:val="006E5F81"/>
    <w:rsid w:val="006F00CF"/>
    <w:rsid w:val="006F0F77"/>
    <w:rsid w:val="006F3B5F"/>
    <w:rsid w:val="006F6E5D"/>
    <w:rsid w:val="00700A7E"/>
    <w:rsid w:val="007031D0"/>
    <w:rsid w:val="00704391"/>
    <w:rsid w:val="007065F2"/>
    <w:rsid w:val="00706858"/>
    <w:rsid w:val="007078FC"/>
    <w:rsid w:val="0071261D"/>
    <w:rsid w:val="00712AD2"/>
    <w:rsid w:val="00712DBF"/>
    <w:rsid w:val="007266DD"/>
    <w:rsid w:val="00736715"/>
    <w:rsid w:val="00736F82"/>
    <w:rsid w:val="0074119A"/>
    <w:rsid w:val="00741B2E"/>
    <w:rsid w:val="007439D9"/>
    <w:rsid w:val="00744432"/>
    <w:rsid w:val="007471EF"/>
    <w:rsid w:val="00747AB4"/>
    <w:rsid w:val="00750A25"/>
    <w:rsid w:val="00750DED"/>
    <w:rsid w:val="00755396"/>
    <w:rsid w:val="0075583B"/>
    <w:rsid w:val="00757958"/>
    <w:rsid w:val="0076600D"/>
    <w:rsid w:val="00784DE4"/>
    <w:rsid w:val="00785B3B"/>
    <w:rsid w:val="007921CE"/>
    <w:rsid w:val="007926F7"/>
    <w:rsid w:val="007A00D7"/>
    <w:rsid w:val="007A1143"/>
    <w:rsid w:val="007A37CA"/>
    <w:rsid w:val="007A61CD"/>
    <w:rsid w:val="007F2883"/>
    <w:rsid w:val="00802034"/>
    <w:rsid w:val="0080771F"/>
    <w:rsid w:val="00822FBE"/>
    <w:rsid w:val="00823F30"/>
    <w:rsid w:val="00832566"/>
    <w:rsid w:val="008352F0"/>
    <w:rsid w:val="00835B83"/>
    <w:rsid w:val="00841B5C"/>
    <w:rsid w:val="00841E68"/>
    <w:rsid w:val="00846E13"/>
    <w:rsid w:val="00850BC4"/>
    <w:rsid w:val="0085221E"/>
    <w:rsid w:val="00857F29"/>
    <w:rsid w:val="0086657C"/>
    <w:rsid w:val="008714F1"/>
    <w:rsid w:val="00873257"/>
    <w:rsid w:val="00874B4B"/>
    <w:rsid w:val="00877031"/>
    <w:rsid w:val="00883184"/>
    <w:rsid w:val="00884752"/>
    <w:rsid w:val="0089096A"/>
    <w:rsid w:val="008923D8"/>
    <w:rsid w:val="0089675B"/>
    <w:rsid w:val="008A3742"/>
    <w:rsid w:val="008A5EEE"/>
    <w:rsid w:val="008A60E6"/>
    <w:rsid w:val="008B2F24"/>
    <w:rsid w:val="008B55B8"/>
    <w:rsid w:val="008B7CF4"/>
    <w:rsid w:val="008C257A"/>
    <w:rsid w:val="008C2736"/>
    <w:rsid w:val="008C3604"/>
    <w:rsid w:val="008D5504"/>
    <w:rsid w:val="008E024C"/>
    <w:rsid w:val="008E250D"/>
    <w:rsid w:val="008E5086"/>
    <w:rsid w:val="008F6629"/>
    <w:rsid w:val="00904B62"/>
    <w:rsid w:val="009119DA"/>
    <w:rsid w:val="009150FF"/>
    <w:rsid w:val="009151E9"/>
    <w:rsid w:val="0093368D"/>
    <w:rsid w:val="009378D4"/>
    <w:rsid w:val="009406EE"/>
    <w:rsid w:val="009467CB"/>
    <w:rsid w:val="00952547"/>
    <w:rsid w:val="00952CDE"/>
    <w:rsid w:val="009531C2"/>
    <w:rsid w:val="009611AD"/>
    <w:rsid w:val="00964CEF"/>
    <w:rsid w:val="0097072A"/>
    <w:rsid w:val="00971508"/>
    <w:rsid w:val="00974FC9"/>
    <w:rsid w:val="0098094B"/>
    <w:rsid w:val="00981AAA"/>
    <w:rsid w:val="0098212F"/>
    <w:rsid w:val="009848B3"/>
    <w:rsid w:val="009856BB"/>
    <w:rsid w:val="0099207E"/>
    <w:rsid w:val="00992340"/>
    <w:rsid w:val="00992D36"/>
    <w:rsid w:val="00996796"/>
    <w:rsid w:val="00997C8E"/>
    <w:rsid w:val="009B4F6C"/>
    <w:rsid w:val="009B781D"/>
    <w:rsid w:val="009C5E0B"/>
    <w:rsid w:val="009C779F"/>
    <w:rsid w:val="009D1F88"/>
    <w:rsid w:val="009D4C50"/>
    <w:rsid w:val="009D7362"/>
    <w:rsid w:val="009D7B25"/>
    <w:rsid w:val="009E4540"/>
    <w:rsid w:val="009E6BA4"/>
    <w:rsid w:val="009E7000"/>
    <w:rsid w:val="009F5A01"/>
    <w:rsid w:val="009F6FBC"/>
    <w:rsid w:val="009F7F8B"/>
    <w:rsid w:val="00A01441"/>
    <w:rsid w:val="00A06AEA"/>
    <w:rsid w:val="00A1130B"/>
    <w:rsid w:val="00A1192F"/>
    <w:rsid w:val="00A13385"/>
    <w:rsid w:val="00A1457D"/>
    <w:rsid w:val="00A16F4E"/>
    <w:rsid w:val="00A1767A"/>
    <w:rsid w:val="00A21AE0"/>
    <w:rsid w:val="00A2308A"/>
    <w:rsid w:val="00A2448C"/>
    <w:rsid w:val="00A25834"/>
    <w:rsid w:val="00A2762F"/>
    <w:rsid w:val="00A301DD"/>
    <w:rsid w:val="00A33089"/>
    <w:rsid w:val="00A339D6"/>
    <w:rsid w:val="00A36F47"/>
    <w:rsid w:val="00A419C3"/>
    <w:rsid w:val="00A4653C"/>
    <w:rsid w:val="00A46E79"/>
    <w:rsid w:val="00A47464"/>
    <w:rsid w:val="00A56B1E"/>
    <w:rsid w:val="00A6212F"/>
    <w:rsid w:val="00A668E1"/>
    <w:rsid w:val="00A862BC"/>
    <w:rsid w:val="00A8781E"/>
    <w:rsid w:val="00A902B7"/>
    <w:rsid w:val="00A9293A"/>
    <w:rsid w:val="00A92B5D"/>
    <w:rsid w:val="00A92B82"/>
    <w:rsid w:val="00A94FFD"/>
    <w:rsid w:val="00AA039A"/>
    <w:rsid w:val="00AA07F0"/>
    <w:rsid w:val="00AA3D7B"/>
    <w:rsid w:val="00AA4889"/>
    <w:rsid w:val="00AA5695"/>
    <w:rsid w:val="00AA73CA"/>
    <w:rsid w:val="00AB2286"/>
    <w:rsid w:val="00AB4C10"/>
    <w:rsid w:val="00AC56CC"/>
    <w:rsid w:val="00AD191E"/>
    <w:rsid w:val="00AD1FBC"/>
    <w:rsid w:val="00AD3192"/>
    <w:rsid w:val="00AE33F7"/>
    <w:rsid w:val="00AE472B"/>
    <w:rsid w:val="00AE486D"/>
    <w:rsid w:val="00AE5E4E"/>
    <w:rsid w:val="00AE6615"/>
    <w:rsid w:val="00AE721F"/>
    <w:rsid w:val="00AF16F4"/>
    <w:rsid w:val="00AF2E63"/>
    <w:rsid w:val="00AF6913"/>
    <w:rsid w:val="00B075E9"/>
    <w:rsid w:val="00B16809"/>
    <w:rsid w:val="00B22B7F"/>
    <w:rsid w:val="00B2654F"/>
    <w:rsid w:val="00B434F1"/>
    <w:rsid w:val="00B467D8"/>
    <w:rsid w:val="00B46C1A"/>
    <w:rsid w:val="00B5197A"/>
    <w:rsid w:val="00B53ABB"/>
    <w:rsid w:val="00B64932"/>
    <w:rsid w:val="00B72F9A"/>
    <w:rsid w:val="00B73139"/>
    <w:rsid w:val="00B7360A"/>
    <w:rsid w:val="00B77370"/>
    <w:rsid w:val="00B77D33"/>
    <w:rsid w:val="00B80030"/>
    <w:rsid w:val="00B83EBC"/>
    <w:rsid w:val="00B841BA"/>
    <w:rsid w:val="00B85CCA"/>
    <w:rsid w:val="00B93086"/>
    <w:rsid w:val="00B93C08"/>
    <w:rsid w:val="00B944DA"/>
    <w:rsid w:val="00BA297B"/>
    <w:rsid w:val="00BA4596"/>
    <w:rsid w:val="00BA4C23"/>
    <w:rsid w:val="00BA5FF4"/>
    <w:rsid w:val="00BA7D15"/>
    <w:rsid w:val="00BB2A3C"/>
    <w:rsid w:val="00BB46CC"/>
    <w:rsid w:val="00BB53BB"/>
    <w:rsid w:val="00BB57AA"/>
    <w:rsid w:val="00BB6EFF"/>
    <w:rsid w:val="00BC2159"/>
    <w:rsid w:val="00BC4DAC"/>
    <w:rsid w:val="00BC758A"/>
    <w:rsid w:val="00BD3416"/>
    <w:rsid w:val="00BD3A89"/>
    <w:rsid w:val="00BD6078"/>
    <w:rsid w:val="00BD705C"/>
    <w:rsid w:val="00BE4092"/>
    <w:rsid w:val="00BE56FF"/>
    <w:rsid w:val="00BF297B"/>
    <w:rsid w:val="00C0207B"/>
    <w:rsid w:val="00C0467F"/>
    <w:rsid w:val="00C05AC4"/>
    <w:rsid w:val="00C0745E"/>
    <w:rsid w:val="00C1284F"/>
    <w:rsid w:val="00C21E0B"/>
    <w:rsid w:val="00C24463"/>
    <w:rsid w:val="00C2632B"/>
    <w:rsid w:val="00C27B7E"/>
    <w:rsid w:val="00C309D4"/>
    <w:rsid w:val="00C345A1"/>
    <w:rsid w:val="00C35C0B"/>
    <w:rsid w:val="00C40560"/>
    <w:rsid w:val="00C43EE5"/>
    <w:rsid w:val="00C45FFF"/>
    <w:rsid w:val="00C5164A"/>
    <w:rsid w:val="00C56AF0"/>
    <w:rsid w:val="00C57323"/>
    <w:rsid w:val="00C61A2C"/>
    <w:rsid w:val="00C626CA"/>
    <w:rsid w:val="00C70C0F"/>
    <w:rsid w:val="00C72133"/>
    <w:rsid w:val="00C73680"/>
    <w:rsid w:val="00C74FDB"/>
    <w:rsid w:val="00C85EF3"/>
    <w:rsid w:val="00C85F9A"/>
    <w:rsid w:val="00C90A89"/>
    <w:rsid w:val="00C916C8"/>
    <w:rsid w:val="00C97304"/>
    <w:rsid w:val="00CA1342"/>
    <w:rsid w:val="00CA70E0"/>
    <w:rsid w:val="00CA740E"/>
    <w:rsid w:val="00CB5140"/>
    <w:rsid w:val="00CC04F8"/>
    <w:rsid w:val="00CC173E"/>
    <w:rsid w:val="00CC4EA0"/>
    <w:rsid w:val="00CC52BB"/>
    <w:rsid w:val="00CD1121"/>
    <w:rsid w:val="00CD227B"/>
    <w:rsid w:val="00CD537B"/>
    <w:rsid w:val="00CE25FF"/>
    <w:rsid w:val="00CE2AE3"/>
    <w:rsid w:val="00CE2ED5"/>
    <w:rsid w:val="00CE5DC4"/>
    <w:rsid w:val="00CF19E6"/>
    <w:rsid w:val="00CF6E0E"/>
    <w:rsid w:val="00D04167"/>
    <w:rsid w:val="00D04BBA"/>
    <w:rsid w:val="00D1043A"/>
    <w:rsid w:val="00D1129B"/>
    <w:rsid w:val="00D164D4"/>
    <w:rsid w:val="00D202F3"/>
    <w:rsid w:val="00D209CA"/>
    <w:rsid w:val="00D23952"/>
    <w:rsid w:val="00D2402A"/>
    <w:rsid w:val="00D252BD"/>
    <w:rsid w:val="00D27410"/>
    <w:rsid w:val="00D44DCA"/>
    <w:rsid w:val="00D46544"/>
    <w:rsid w:val="00D50AE4"/>
    <w:rsid w:val="00D55D5E"/>
    <w:rsid w:val="00D564BF"/>
    <w:rsid w:val="00D60BE2"/>
    <w:rsid w:val="00D676E2"/>
    <w:rsid w:val="00D74BE6"/>
    <w:rsid w:val="00D75AD3"/>
    <w:rsid w:val="00D76F01"/>
    <w:rsid w:val="00D85650"/>
    <w:rsid w:val="00D87EEB"/>
    <w:rsid w:val="00D91737"/>
    <w:rsid w:val="00D93B90"/>
    <w:rsid w:val="00D93FCB"/>
    <w:rsid w:val="00DA553D"/>
    <w:rsid w:val="00DA7A8D"/>
    <w:rsid w:val="00DB2348"/>
    <w:rsid w:val="00DB4BA2"/>
    <w:rsid w:val="00DC1032"/>
    <w:rsid w:val="00DE1084"/>
    <w:rsid w:val="00DF034E"/>
    <w:rsid w:val="00DF035C"/>
    <w:rsid w:val="00DF0EFB"/>
    <w:rsid w:val="00E017E0"/>
    <w:rsid w:val="00E036A7"/>
    <w:rsid w:val="00E04BA7"/>
    <w:rsid w:val="00E06117"/>
    <w:rsid w:val="00E11082"/>
    <w:rsid w:val="00E123D2"/>
    <w:rsid w:val="00E172EB"/>
    <w:rsid w:val="00E241F7"/>
    <w:rsid w:val="00E271C9"/>
    <w:rsid w:val="00E27970"/>
    <w:rsid w:val="00E35D9A"/>
    <w:rsid w:val="00E41917"/>
    <w:rsid w:val="00E41C71"/>
    <w:rsid w:val="00E41E1F"/>
    <w:rsid w:val="00E4674C"/>
    <w:rsid w:val="00E47533"/>
    <w:rsid w:val="00E50416"/>
    <w:rsid w:val="00E5325B"/>
    <w:rsid w:val="00E555E9"/>
    <w:rsid w:val="00E63E5D"/>
    <w:rsid w:val="00E703B6"/>
    <w:rsid w:val="00E70C4D"/>
    <w:rsid w:val="00E71C42"/>
    <w:rsid w:val="00E73E7A"/>
    <w:rsid w:val="00E75374"/>
    <w:rsid w:val="00E80FDE"/>
    <w:rsid w:val="00E846D9"/>
    <w:rsid w:val="00E9214E"/>
    <w:rsid w:val="00E93588"/>
    <w:rsid w:val="00E95BF0"/>
    <w:rsid w:val="00EA3E9C"/>
    <w:rsid w:val="00EB0902"/>
    <w:rsid w:val="00EB2093"/>
    <w:rsid w:val="00EB3C36"/>
    <w:rsid w:val="00EC2390"/>
    <w:rsid w:val="00EC6D3B"/>
    <w:rsid w:val="00ED158C"/>
    <w:rsid w:val="00ED19B1"/>
    <w:rsid w:val="00ED296B"/>
    <w:rsid w:val="00ED72C4"/>
    <w:rsid w:val="00EE1722"/>
    <w:rsid w:val="00EF31E1"/>
    <w:rsid w:val="00EF369D"/>
    <w:rsid w:val="00F00D08"/>
    <w:rsid w:val="00F06C37"/>
    <w:rsid w:val="00F13A48"/>
    <w:rsid w:val="00F13B96"/>
    <w:rsid w:val="00F13BC3"/>
    <w:rsid w:val="00F153D1"/>
    <w:rsid w:val="00F1768B"/>
    <w:rsid w:val="00F21BA4"/>
    <w:rsid w:val="00F24CD4"/>
    <w:rsid w:val="00F305ED"/>
    <w:rsid w:val="00F33242"/>
    <w:rsid w:val="00F34412"/>
    <w:rsid w:val="00F3547E"/>
    <w:rsid w:val="00F3718B"/>
    <w:rsid w:val="00F43EBF"/>
    <w:rsid w:val="00F5363E"/>
    <w:rsid w:val="00F56F96"/>
    <w:rsid w:val="00F57104"/>
    <w:rsid w:val="00F625FF"/>
    <w:rsid w:val="00F64448"/>
    <w:rsid w:val="00F66B80"/>
    <w:rsid w:val="00F66FE8"/>
    <w:rsid w:val="00F718FF"/>
    <w:rsid w:val="00F73ACC"/>
    <w:rsid w:val="00F75187"/>
    <w:rsid w:val="00F75D40"/>
    <w:rsid w:val="00F80386"/>
    <w:rsid w:val="00F827BB"/>
    <w:rsid w:val="00F82EA7"/>
    <w:rsid w:val="00F834CA"/>
    <w:rsid w:val="00F843BF"/>
    <w:rsid w:val="00F8760E"/>
    <w:rsid w:val="00F94B08"/>
    <w:rsid w:val="00F96656"/>
    <w:rsid w:val="00F96AA2"/>
    <w:rsid w:val="00F96F60"/>
    <w:rsid w:val="00F978C6"/>
    <w:rsid w:val="00F979C9"/>
    <w:rsid w:val="00FA081C"/>
    <w:rsid w:val="00FA1292"/>
    <w:rsid w:val="00FA4AE3"/>
    <w:rsid w:val="00FA7943"/>
    <w:rsid w:val="00FB10FA"/>
    <w:rsid w:val="00FB1C00"/>
    <w:rsid w:val="00FC60C2"/>
    <w:rsid w:val="00FC63CF"/>
    <w:rsid w:val="00FF304F"/>
    <w:rsid w:val="00FF6DEB"/>
    <w:rsid w:val="0173214E"/>
    <w:rsid w:val="01BB5A85"/>
    <w:rsid w:val="01C35DFF"/>
    <w:rsid w:val="0429076D"/>
    <w:rsid w:val="052A284F"/>
    <w:rsid w:val="053A45A8"/>
    <w:rsid w:val="05C869C2"/>
    <w:rsid w:val="05F8235F"/>
    <w:rsid w:val="06E15AD9"/>
    <w:rsid w:val="06FA2BAB"/>
    <w:rsid w:val="083E4D1A"/>
    <w:rsid w:val="08A55394"/>
    <w:rsid w:val="09E10052"/>
    <w:rsid w:val="0A426D43"/>
    <w:rsid w:val="0A543B62"/>
    <w:rsid w:val="0B2C17A1"/>
    <w:rsid w:val="0B751115"/>
    <w:rsid w:val="0B7E1CB6"/>
    <w:rsid w:val="0BEB340A"/>
    <w:rsid w:val="0C2D57D1"/>
    <w:rsid w:val="0C3703FE"/>
    <w:rsid w:val="0CA4630A"/>
    <w:rsid w:val="0CB101B0"/>
    <w:rsid w:val="0D89297F"/>
    <w:rsid w:val="0DAE2B79"/>
    <w:rsid w:val="0DB04467"/>
    <w:rsid w:val="0E150EAB"/>
    <w:rsid w:val="0E2B5D40"/>
    <w:rsid w:val="0E761009"/>
    <w:rsid w:val="0F093F3B"/>
    <w:rsid w:val="0F74735A"/>
    <w:rsid w:val="0FB415D5"/>
    <w:rsid w:val="10204215"/>
    <w:rsid w:val="104B3917"/>
    <w:rsid w:val="10A7355F"/>
    <w:rsid w:val="117B581C"/>
    <w:rsid w:val="1218482D"/>
    <w:rsid w:val="123D6042"/>
    <w:rsid w:val="12541D09"/>
    <w:rsid w:val="12A8305E"/>
    <w:rsid w:val="12A8611D"/>
    <w:rsid w:val="12C0739F"/>
    <w:rsid w:val="140B26BF"/>
    <w:rsid w:val="14991C55"/>
    <w:rsid w:val="14E7475B"/>
    <w:rsid w:val="165E3157"/>
    <w:rsid w:val="16AA5140"/>
    <w:rsid w:val="17441DA1"/>
    <w:rsid w:val="17A81C09"/>
    <w:rsid w:val="17AE342C"/>
    <w:rsid w:val="187B4002"/>
    <w:rsid w:val="19377E5F"/>
    <w:rsid w:val="1943335F"/>
    <w:rsid w:val="196071E6"/>
    <w:rsid w:val="1AA807B0"/>
    <w:rsid w:val="1B544B28"/>
    <w:rsid w:val="1BA247C3"/>
    <w:rsid w:val="1CA53161"/>
    <w:rsid w:val="1D2C07D4"/>
    <w:rsid w:val="1EBF689B"/>
    <w:rsid w:val="1EE60968"/>
    <w:rsid w:val="1EFF124F"/>
    <w:rsid w:val="1F0028D1"/>
    <w:rsid w:val="1F5F584A"/>
    <w:rsid w:val="1FAC30C8"/>
    <w:rsid w:val="20196410"/>
    <w:rsid w:val="208732AA"/>
    <w:rsid w:val="20A21E92"/>
    <w:rsid w:val="20ED1916"/>
    <w:rsid w:val="20FC3C98"/>
    <w:rsid w:val="220F17A9"/>
    <w:rsid w:val="2229482B"/>
    <w:rsid w:val="22B660C8"/>
    <w:rsid w:val="232623FE"/>
    <w:rsid w:val="23744535"/>
    <w:rsid w:val="238E3BA3"/>
    <w:rsid w:val="238E3E51"/>
    <w:rsid w:val="23A2644A"/>
    <w:rsid w:val="23EB3B50"/>
    <w:rsid w:val="23EE0A86"/>
    <w:rsid w:val="254038D8"/>
    <w:rsid w:val="27DA086F"/>
    <w:rsid w:val="2872125A"/>
    <w:rsid w:val="28946B3B"/>
    <w:rsid w:val="28BE0379"/>
    <w:rsid w:val="28DA4193"/>
    <w:rsid w:val="290966B1"/>
    <w:rsid w:val="294A2B7B"/>
    <w:rsid w:val="2A1F09F7"/>
    <w:rsid w:val="2AC84BEB"/>
    <w:rsid w:val="2AEC1E8B"/>
    <w:rsid w:val="2AF363DC"/>
    <w:rsid w:val="2B8C2DFF"/>
    <w:rsid w:val="2BDD6598"/>
    <w:rsid w:val="2D4177EF"/>
    <w:rsid w:val="2D4463C5"/>
    <w:rsid w:val="2DB03710"/>
    <w:rsid w:val="2DE0049D"/>
    <w:rsid w:val="2E6E69EE"/>
    <w:rsid w:val="2F8D0FB0"/>
    <w:rsid w:val="308928A7"/>
    <w:rsid w:val="30AA3BFA"/>
    <w:rsid w:val="30FA690C"/>
    <w:rsid w:val="312F0409"/>
    <w:rsid w:val="3149291E"/>
    <w:rsid w:val="318C6F4C"/>
    <w:rsid w:val="322B4EB9"/>
    <w:rsid w:val="32301D66"/>
    <w:rsid w:val="32CA435E"/>
    <w:rsid w:val="32E60ABA"/>
    <w:rsid w:val="32F511BE"/>
    <w:rsid w:val="341727DA"/>
    <w:rsid w:val="34A17A33"/>
    <w:rsid w:val="34E11D6D"/>
    <w:rsid w:val="36AA2B75"/>
    <w:rsid w:val="37CB536B"/>
    <w:rsid w:val="39821A0D"/>
    <w:rsid w:val="399379B2"/>
    <w:rsid w:val="39B72B11"/>
    <w:rsid w:val="39EF63D2"/>
    <w:rsid w:val="3A6E47AB"/>
    <w:rsid w:val="3BC20340"/>
    <w:rsid w:val="3C6504EB"/>
    <w:rsid w:val="3C931926"/>
    <w:rsid w:val="3D683537"/>
    <w:rsid w:val="3DE33F6B"/>
    <w:rsid w:val="3E95498C"/>
    <w:rsid w:val="3F0F473E"/>
    <w:rsid w:val="40F75247"/>
    <w:rsid w:val="41361918"/>
    <w:rsid w:val="41AE46E3"/>
    <w:rsid w:val="42AB6E74"/>
    <w:rsid w:val="42F92F33"/>
    <w:rsid w:val="43763B0B"/>
    <w:rsid w:val="43A23DD3"/>
    <w:rsid w:val="43C20EE5"/>
    <w:rsid w:val="444634F5"/>
    <w:rsid w:val="44550E45"/>
    <w:rsid w:val="4475773A"/>
    <w:rsid w:val="44D426B2"/>
    <w:rsid w:val="45563B4C"/>
    <w:rsid w:val="45EC61E1"/>
    <w:rsid w:val="46366A55"/>
    <w:rsid w:val="468329E1"/>
    <w:rsid w:val="4A660114"/>
    <w:rsid w:val="4B3A6FE7"/>
    <w:rsid w:val="4C8F3CB7"/>
    <w:rsid w:val="4CE87A1F"/>
    <w:rsid w:val="4D0B3391"/>
    <w:rsid w:val="4D1B69A4"/>
    <w:rsid w:val="4D3E3A17"/>
    <w:rsid w:val="4DD454D1"/>
    <w:rsid w:val="4E2468B8"/>
    <w:rsid w:val="4E6A7BE3"/>
    <w:rsid w:val="4E724CEA"/>
    <w:rsid w:val="4E751761"/>
    <w:rsid w:val="4E9732E3"/>
    <w:rsid w:val="4EEF4977"/>
    <w:rsid w:val="4EFC0A88"/>
    <w:rsid w:val="4F1A33B7"/>
    <w:rsid w:val="4F1B52F5"/>
    <w:rsid w:val="4F1F7D8C"/>
    <w:rsid w:val="4F3F3FF9"/>
    <w:rsid w:val="4F412C02"/>
    <w:rsid w:val="4F7306F5"/>
    <w:rsid w:val="50CC0757"/>
    <w:rsid w:val="50D17AA6"/>
    <w:rsid w:val="51A647D1"/>
    <w:rsid w:val="52214A5D"/>
    <w:rsid w:val="523D453F"/>
    <w:rsid w:val="52923265"/>
    <w:rsid w:val="53370074"/>
    <w:rsid w:val="5439699D"/>
    <w:rsid w:val="546B6463"/>
    <w:rsid w:val="54B26DDE"/>
    <w:rsid w:val="54FD0A7F"/>
    <w:rsid w:val="55511023"/>
    <w:rsid w:val="55967510"/>
    <w:rsid w:val="55E91F5E"/>
    <w:rsid w:val="55F304BE"/>
    <w:rsid w:val="55F873F7"/>
    <w:rsid w:val="56C628F0"/>
    <w:rsid w:val="570566FB"/>
    <w:rsid w:val="573174F0"/>
    <w:rsid w:val="57877110"/>
    <w:rsid w:val="58AE2DC2"/>
    <w:rsid w:val="58B26EC7"/>
    <w:rsid w:val="5A1B4488"/>
    <w:rsid w:val="5A4C2893"/>
    <w:rsid w:val="5A9D6C4B"/>
    <w:rsid w:val="5AFF7905"/>
    <w:rsid w:val="5C0276AD"/>
    <w:rsid w:val="5CCB5CF1"/>
    <w:rsid w:val="5D0A2B3D"/>
    <w:rsid w:val="5D956FF3"/>
    <w:rsid w:val="5DBF5C0A"/>
    <w:rsid w:val="5E021BE6"/>
    <w:rsid w:val="5EAF5F88"/>
    <w:rsid w:val="5EC818D1"/>
    <w:rsid w:val="5EF9398E"/>
    <w:rsid w:val="60373B4A"/>
    <w:rsid w:val="60692C88"/>
    <w:rsid w:val="607D18D9"/>
    <w:rsid w:val="60E9052C"/>
    <w:rsid w:val="612D18A0"/>
    <w:rsid w:val="6223212B"/>
    <w:rsid w:val="624665A5"/>
    <w:rsid w:val="635D5E0A"/>
    <w:rsid w:val="63C57BFC"/>
    <w:rsid w:val="64357EF4"/>
    <w:rsid w:val="645446EA"/>
    <w:rsid w:val="64906093"/>
    <w:rsid w:val="658B6DC7"/>
    <w:rsid w:val="65AD68DC"/>
    <w:rsid w:val="66033642"/>
    <w:rsid w:val="665C2657"/>
    <w:rsid w:val="66D40643"/>
    <w:rsid w:val="67486190"/>
    <w:rsid w:val="676463C0"/>
    <w:rsid w:val="67A04C68"/>
    <w:rsid w:val="67C82386"/>
    <w:rsid w:val="687011B3"/>
    <w:rsid w:val="68755967"/>
    <w:rsid w:val="68A37B22"/>
    <w:rsid w:val="694D7B54"/>
    <w:rsid w:val="69693E10"/>
    <w:rsid w:val="69B2700A"/>
    <w:rsid w:val="6B791801"/>
    <w:rsid w:val="6B99750F"/>
    <w:rsid w:val="6C152AE5"/>
    <w:rsid w:val="6C7353BC"/>
    <w:rsid w:val="6CBE5332"/>
    <w:rsid w:val="6CCF5389"/>
    <w:rsid w:val="6D0B038C"/>
    <w:rsid w:val="6D7442E5"/>
    <w:rsid w:val="6DFF1C9E"/>
    <w:rsid w:val="6E9D582D"/>
    <w:rsid w:val="6EDF5173"/>
    <w:rsid w:val="6F927E36"/>
    <w:rsid w:val="6F99623C"/>
    <w:rsid w:val="6FB6638D"/>
    <w:rsid w:val="70345611"/>
    <w:rsid w:val="710C62D3"/>
    <w:rsid w:val="71BE502C"/>
    <w:rsid w:val="72676064"/>
    <w:rsid w:val="72976FFE"/>
    <w:rsid w:val="72A414C0"/>
    <w:rsid w:val="72AF5EFB"/>
    <w:rsid w:val="72F273C1"/>
    <w:rsid w:val="732C6966"/>
    <w:rsid w:val="73724CC1"/>
    <w:rsid w:val="73D019E7"/>
    <w:rsid w:val="74253AE1"/>
    <w:rsid w:val="7429582C"/>
    <w:rsid w:val="74B3733F"/>
    <w:rsid w:val="750202C6"/>
    <w:rsid w:val="751C145E"/>
    <w:rsid w:val="752972CF"/>
    <w:rsid w:val="754044EE"/>
    <w:rsid w:val="76961786"/>
    <w:rsid w:val="76E01F41"/>
    <w:rsid w:val="772F0D4F"/>
    <w:rsid w:val="7763329E"/>
    <w:rsid w:val="77E617D9"/>
    <w:rsid w:val="783C3AEF"/>
    <w:rsid w:val="78852686"/>
    <w:rsid w:val="794A0B14"/>
    <w:rsid w:val="794B6EF7"/>
    <w:rsid w:val="795B6772"/>
    <w:rsid w:val="7AB559B2"/>
    <w:rsid w:val="7AB91427"/>
    <w:rsid w:val="7ACF310D"/>
    <w:rsid w:val="7B7FC759"/>
    <w:rsid w:val="7C3365E1"/>
    <w:rsid w:val="7C8F1C56"/>
    <w:rsid w:val="7CB023B6"/>
    <w:rsid w:val="7E353C4D"/>
    <w:rsid w:val="7F343161"/>
    <w:rsid w:val="7F583CA8"/>
    <w:rsid w:val="7FBF303C"/>
    <w:rsid w:val="D6BD7EB9"/>
    <w:rsid w:val="DFEF5080"/>
    <w:rsid w:val="FEAE1B8B"/>
    <w:rsid w:val="FF9E46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uiPriority="99" w:name="Body Text First Indent 2"/>
    <w:lsdException w:uiPriority="99" w:name="Note Heading"/>
    <w:lsdException w:qFormat="1" w:uiPriority="99" w:semiHidden="0" w:name="Body Text 2"/>
    <w:lsdException w:uiPriority="99" w:name="Body Text 3"/>
    <w:lsdException w:uiPriority="99" w:name="Body Text Indent 2"/>
    <w:lsdException w:qFormat="1" w:unhideWhenUsed="0" w:uiPriority="99"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360" w:lineRule="exact"/>
      <w:ind w:firstLine="425" w:firstLineChars="177"/>
      <w:jc w:val="center"/>
    </w:pPr>
    <w:rPr>
      <w:rFonts w:ascii="Times New Roman" w:hAnsi="Times New Roman" w:eastAsia="宋体" w:cs="Times New Roman"/>
      <w:sz w:val="24"/>
      <w:szCs w:val="24"/>
      <w:lang w:val="en-US" w:eastAsia="zh-CN" w:bidi="ar-SA"/>
    </w:rPr>
  </w:style>
  <w:style w:type="paragraph" w:styleId="5">
    <w:name w:val="heading 1"/>
    <w:basedOn w:val="1"/>
    <w:next w:val="1"/>
    <w:qFormat/>
    <w:uiPriority w:val="0"/>
    <w:pPr>
      <w:keepNext/>
      <w:keepLines/>
      <w:spacing w:before="340" w:after="330" w:line="578" w:lineRule="auto"/>
      <w:outlineLvl w:val="0"/>
    </w:pPr>
    <w:rPr>
      <w:b/>
      <w:bCs/>
      <w:kern w:val="44"/>
    </w:rPr>
  </w:style>
  <w:style w:type="paragraph" w:styleId="6">
    <w:name w:val="heading 2"/>
    <w:basedOn w:val="1"/>
    <w:next w:val="7"/>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8">
    <w:name w:val="heading 3"/>
    <w:basedOn w:val="1"/>
    <w:next w:val="7"/>
    <w:link w:val="58"/>
    <w:unhideWhenUsed/>
    <w:qFormat/>
    <w:uiPriority w:val="9"/>
    <w:pPr>
      <w:keepNext/>
      <w:keepLines/>
      <w:spacing w:before="260" w:after="260" w:line="416" w:lineRule="auto"/>
      <w:outlineLvl w:val="2"/>
    </w:pPr>
    <w:rPr>
      <w:b/>
      <w:bCs/>
      <w:sz w:val="32"/>
      <w:szCs w:val="32"/>
    </w:rPr>
  </w:style>
  <w:style w:type="paragraph" w:styleId="9">
    <w:name w:val="heading 6"/>
    <w:basedOn w:val="1"/>
    <w:next w:val="1"/>
    <w:link w:val="62"/>
    <w:semiHidden/>
    <w:unhideWhenUsed/>
    <w:qFormat/>
    <w:uiPriority w:val="9"/>
    <w:pPr>
      <w:keepNext/>
      <w:keepLines/>
      <w:spacing w:before="240" w:after="64" w:line="320" w:lineRule="auto"/>
      <w:outlineLvl w:val="5"/>
    </w:pPr>
    <w:rPr>
      <w:rFonts w:asciiTheme="majorHAnsi" w:hAnsiTheme="majorHAnsi" w:eastAsiaTheme="majorEastAsia" w:cstheme="majorBidi"/>
      <w:b/>
      <w:bCs/>
    </w:rPr>
  </w:style>
  <w:style w:type="character" w:default="1" w:styleId="24">
    <w:name w:val="Default Paragraph Font"/>
    <w:semiHidden/>
    <w:unhideWhenUsed/>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link w:val="52"/>
    <w:unhideWhenUsed/>
    <w:qFormat/>
    <w:uiPriority w:val="99"/>
    <w:pPr>
      <w:ind w:firstLine="420" w:firstLineChars="100"/>
    </w:pPr>
  </w:style>
  <w:style w:type="paragraph" w:styleId="3">
    <w:name w:val="Body Text"/>
    <w:basedOn w:val="1"/>
    <w:next w:val="4"/>
    <w:link w:val="29"/>
    <w:qFormat/>
    <w:uiPriority w:val="99"/>
    <w:pPr>
      <w:spacing w:after="120" w:line="400" w:lineRule="exact"/>
      <w:jc w:val="left"/>
    </w:pPr>
  </w:style>
  <w:style w:type="paragraph" w:styleId="4">
    <w:name w:val="toc 2"/>
    <w:basedOn w:val="1"/>
    <w:next w:val="1"/>
    <w:unhideWhenUsed/>
    <w:qFormat/>
    <w:uiPriority w:val="39"/>
    <w:pPr>
      <w:spacing w:after="57"/>
      <w:ind w:left="283"/>
    </w:pPr>
  </w:style>
  <w:style w:type="paragraph" w:styleId="7">
    <w:name w:val="Normal Indent"/>
    <w:basedOn w:val="1"/>
    <w:qFormat/>
    <w:uiPriority w:val="0"/>
    <w:pPr>
      <w:ind w:firstLine="420"/>
    </w:pPr>
    <w:rPr>
      <w:szCs w:val="21"/>
    </w:rPr>
  </w:style>
  <w:style w:type="paragraph" w:styleId="10">
    <w:name w:val="Document Map"/>
    <w:basedOn w:val="1"/>
    <w:link w:val="37"/>
    <w:unhideWhenUsed/>
    <w:qFormat/>
    <w:uiPriority w:val="99"/>
    <w:rPr>
      <w:rFonts w:ascii="宋体"/>
      <w:sz w:val="18"/>
      <w:szCs w:val="18"/>
    </w:rPr>
  </w:style>
  <w:style w:type="paragraph" w:styleId="11">
    <w:name w:val="annotation text"/>
    <w:basedOn w:val="1"/>
    <w:link w:val="38"/>
    <w:unhideWhenUsed/>
    <w:qFormat/>
    <w:uiPriority w:val="0"/>
    <w:pPr>
      <w:jc w:val="left"/>
    </w:pPr>
  </w:style>
  <w:style w:type="paragraph" w:styleId="12">
    <w:name w:val="index 4"/>
    <w:basedOn w:val="1"/>
    <w:next w:val="1"/>
    <w:unhideWhenUsed/>
    <w:qFormat/>
    <w:uiPriority w:val="99"/>
    <w:pPr>
      <w:ind w:firstLine="420" w:firstLineChars="200"/>
      <w:jc w:val="left"/>
    </w:pPr>
    <w:rPr>
      <w:sz w:val="21"/>
    </w:rPr>
  </w:style>
  <w:style w:type="paragraph" w:styleId="13">
    <w:name w:val="Plain Text"/>
    <w:basedOn w:val="1"/>
    <w:link w:val="51"/>
    <w:qFormat/>
    <w:uiPriority w:val="0"/>
    <w:pPr>
      <w:ind w:firstLine="560" w:firstLineChars="200"/>
    </w:pPr>
    <w:rPr>
      <w:rFonts w:ascii="宋体" w:hAnsi="Courier New"/>
      <w:sz w:val="28"/>
      <w:szCs w:val="28"/>
    </w:rPr>
  </w:style>
  <w:style w:type="paragraph" w:styleId="14">
    <w:name w:val="Date"/>
    <w:basedOn w:val="1"/>
    <w:next w:val="1"/>
    <w:qFormat/>
    <w:uiPriority w:val="0"/>
    <w:rPr>
      <w:rFonts w:ascii="Calibri" w:hAnsi="Calibri"/>
    </w:rPr>
  </w:style>
  <w:style w:type="paragraph" w:styleId="15">
    <w:name w:val="Balloon Text"/>
    <w:basedOn w:val="1"/>
    <w:link w:val="36"/>
    <w:semiHidden/>
    <w:unhideWhenUsed/>
    <w:qFormat/>
    <w:uiPriority w:val="99"/>
    <w:rPr>
      <w:sz w:val="18"/>
      <w:szCs w:val="18"/>
    </w:rPr>
  </w:style>
  <w:style w:type="paragraph" w:styleId="16">
    <w:name w:val="footer"/>
    <w:basedOn w:val="1"/>
    <w:link w:val="35"/>
    <w:unhideWhenUsed/>
    <w:qFormat/>
    <w:uiPriority w:val="99"/>
    <w:pPr>
      <w:tabs>
        <w:tab w:val="center" w:pos="4153"/>
        <w:tab w:val="right" w:pos="8306"/>
      </w:tabs>
    </w:pPr>
    <w:rPr>
      <w:sz w:val="18"/>
      <w:szCs w:val="18"/>
    </w:rPr>
  </w:style>
  <w:style w:type="paragraph" w:styleId="17">
    <w:name w:val="header"/>
    <w:basedOn w:val="1"/>
    <w:link w:val="34"/>
    <w:unhideWhenUsed/>
    <w:qFormat/>
    <w:uiPriority w:val="99"/>
    <w:pPr>
      <w:pBdr>
        <w:bottom w:val="single" w:color="auto" w:sz="6" w:space="1"/>
      </w:pBdr>
      <w:tabs>
        <w:tab w:val="center" w:pos="4153"/>
        <w:tab w:val="right" w:pos="8306"/>
      </w:tabs>
    </w:pPr>
    <w:rPr>
      <w:sz w:val="18"/>
      <w:szCs w:val="18"/>
    </w:rPr>
  </w:style>
  <w:style w:type="paragraph" w:styleId="18">
    <w:name w:val="Body Text Indent 3"/>
    <w:basedOn w:val="1"/>
    <w:link w:val="30"/>
    <w:qFormat/>
    <w:uiPriority w:val="99"/>
    <w:pPr>
      <w:tabs>
        <w:tab w:val="left" w:pos="3240"/>
      </w:tabs>
      <w:spacing w:line="500" w:lineRule="exact"/>
      <w:ind w:firstLine="643"/>
      <w:outlineLvl w:val="0"/>
    </w:pPr>
    <w:rPr>
      <w:rFonts w:asciiTheme="minorEastAsia" w:hAnsiTheme="minorEastAsia" w:eastAsiaTheme="minorEastAsia"/>
      <w:b/>
      <w:sz w:val="32"/>
      <w:szCs w:val="20"/>
    </w:rPr>
  </w:style>
  <w:style w:type="paragraph" w:styleId="19">
    <w:name w:val="Body Text 2"/>
    <w:basedOn w:val="1"/>
    <w:link w:val="61"/>
    <w:unhideWhenUsed/>
    <w:qFormat/>
    <w:uiPriority w:val="99"/>
    <w:pPr>
      <w:widowControl/>
      <w:spacing w:after="120" w:line="480" w:lineRule="auto"/>
      <w:ind w:firstLine="480" w:firstLineChars="200"/>
      <w:jc w:val="left"/>
    </w:pPr>
    <w:rPr>
      <w:rFonts w:ascii="宋体" w:hAnsiTheme="minorHAnsi" w:cstheme="minorBidi"/>
      <w:szCs w:val="22"/>
    </w:rPr>
  </w:style>
  <w:style w:type="paragraph" w:styleId="20">
    <w:name w:val="Normal (Web)"/>
    <w:basedOn w:val="1"/>
    <w:qFormat/>
    <w:uiPriority w:val="99"/>
    <w:pPr>
      <w:spacing w:before="150" w:after="150" w:line="480" w:lineRule="auto"/>
      <w:jc w:val="left"/>
    </w:pPr>
    <w:rPr>
      <w:rFonts w:hint="eastAsia" w:ascii="宋体" w:hAnsi="宋体"/>
      <w:color w:val="000000"/>
    </w:rPr>
  </w:style>
  <w:style w:type="paragraph" w:styleId="21">
    <w:name w:val="annotation subject"/>
    <w:basedOn w:val="11"/>
    <w:next w:val="11"/>
    <w:link w:val="39"/>
    <w:semiHidden/>
    <w:unhideWhenUsed/>
    <w:qFormat/>
    <w:uiPriority w:val="99"/>
    <w:rPr>
      <w:b/>
      <w:bCs/>
    </w:rPr>
  </w:style>
  <w:style w:type="table" w:styleId="23">
    <w:name w:val="Table Grid"/>
    <w:basedOn w:val="22"/>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Hyperlink"/>
    <w:qFormat/>
    <w:uiPriority w:val="99"/>
    <w:rPr>
      <w:rFonts w:cs="Times New Roman"/>
      <w:color w:val="336699"/>
      <w:sz w:val="18"/>
      <w:u w:val="none"/>
    </w:rPr>
  </w:style>
  <w:style w:type="character" w:styleId="26">
    <w:name w:val="annotation reference"/>
    <w:basedOn w:val="24"/>
    <w:unhideWhenUsed/>
    <w:qFormat/>
    <w:uiPriority w:val="0"/>
    <w:rPr>
      <w:sz w:val="21"/>
      <w:szCs w:val="21"/>
    </w:rPr>
  </w:style>
  <w:style w:type="character" w:customStyle="1" w:styleId="27">
    <w:name w:val="正文文本 Char"/>
    <w:basedOn w:val="24"/>
    <w:semiHidden/>
    <w:qFormat/>
    <w:uiPriority w:val="99"/>
    <w:rPr>
      <w:rFonts w:ascii="Times New Roman" w:hAnsi="Times New Roman" w:eastAsia="宋体" w:cs="Times New Roman"/>
      <w:kern w:val="0"/>
      <w:sz w:val="24"/>
      <w:szCs w:val="24"/>
    </w:rPr>
  </w:style>
  <w:style w:type="character" w:customStyle="1" w:styleId="28">
    <w:name w:val="正文文本缩进 3 Char"/>
    <w:basedOn w:val="24"/>
    <w:semiHidden/>
    <w:qFormat/>
    <w:uiPriority w:val="99"/>
    <w:rPr>
      <w:rFonts w:ascii="Times New Roman" w:hAnsi="Times New Roman" w:eastAsia="宋体" w:cs="Times New Roman"/>
      <w:kern w:val="0"/>
      <w:sz w:val="16"/>
      <w:szCs w:val="16"/>
    </w:rPr>
  </w:style>
  <w:style w:type="character" w:customStyle="1" w:styleId="29">
    <w:name w:val="正文文本 字符"/>
    <w:link w:val="3"/>
    <w:qFormat/>
    <w:locked/>
    <w:uiPriority w:val="99"/>
    <w:rPr>
      <w:sz w:val="24"/>
      <w:szCs w:val="24"/>
    </w:rPr>
  </w:style>
  <w:style w:type="character" w:customStyle="1" w:styleId="30">
    <w:name w:val="正文文本缩进 3 字符"/>
    <w:link w:val="18"/>
    <w:qFormat/>
    <w:locked/>
    <w:uiPriority w:val="99"/>
    <w:rPr>
      <w:rFonts w:asciiTheme="minorEastAsia" w:hAnsiTheme="minorEastAsia" w:eastAsiaTheme="minorEastAsia"/>
      <w:b/>
      <w:sz w:val="32"/>
    </w:rPr>
  </w:style>
  <w:style w:type="paragraph" w:customStyle="1" w:styleId="31">
    <w:name w:val="Default"/>
    <w:qFormat/>
    <w:uiPriority w:val="99"/>
    <w:pPr>
      <w:widowControl w:val="0"/>
      <w:autoSpaceDE w:val="0"/>
      <w:autoSpaceDN w:val="0"/>
      <w:adjustRightInd w:val="0"/>
      <w:jc w:val="center"/>
    </w:pPr>
    <w:rPr>
      <w:rFonts w:cs="Times New Roman" w:asciiTheme="minorEastAsia" w:hAnsiTheme="minorEastAsia" w:eastAsiaTheme="minorEastAsia"/>
      <w:b/>
      <w:bCs/>
      <w:color w:val="000000"/>
      <w:sz w:val="84"/>
      <w:szCs w:val="84"/>
      <w:lang w:val="en-US" w:eastAsia="zh-CN" w:bidi="ar-SA"/>
    </w:rPr>
  </w:style>
  <w:style w:type="paragraph" w:customStyle="1" w:styleId="32">
    <w:name w:val="WPS Plain"/>
    <w:qFormat/>
    <w:uiPriority w:val="0"/>
    <w:rPr>
      <w:rFonts w:ascii="Times New Roman" w:hAnsi="Times New Roman" w:eastAsia="宋体" w:cs="Times New Roman"/>
      <w:lang w:val="en-US" w:eastAsia="zh-CN" w:bidi="ar-SA"/>
    </w:rPr>
  </w:style>
  <w:style w:type="paragraph" w:styleId="33">
    <w:name w:val="List Paragraph"/>
    <w:basedOn w:val="1"/>
    <w:qFormat/>
    <w:uiPriority w:val="34"/>
    <w:pPr>
      <w:ind w:firstLine="420" w:firstLineChars="200"/>
    </w:pPr>
    <w:rPr>
      <w:rFonts w:eastAsia="Times New Roman"/>
    </w:rPr>
  </w:style>
  <w:style w:type="character" w:customStyle="1" w:styleId="34">
    <w:name w:val="页眉 字符"/>
    <w:basedOn w:val="24"/>
    <w:link w:val="17"/>
    <w:qFormat/>
    <w:uiPriority w:val="99"/>
    <w:rPr>
      <w:rFonts w:ascii="Times New Roman" w:hAnsi="Times New Roman" w:eastAsia="宋体" w:cs="Times New Roman"/>
      <w:sz w:val="18"/>
      <w:szCs w:val="18"/>
    </w:rPr>
  </w:style>
  <w:style w:type="character" w:customStyle="1" w:styleId="35">
    <w:name w:val="页脚 字符"/>
    <w:basedOn w:val="24"/>
    <w:link w:val="16"/>
    <w:qFormat/>
    <w:uiPriority w:val="99"/>
    <w:rPr>
      <w:sz w:val="18"/>
      <w:szCs w:val="18"/>
    </w:rPr>
  </w:style>
  <w:style w:type="character" w:customStyle="1" w:styleId="36">
    <w:name w:val="批注框文本 字符"/>
    <w:basedOn w:val="24"/>
    <w:link w:val="15"/>
    <w:semiHidden/>
    <w:qFormat/>
    <w:uiPriority w:val="99"/>
    <w:rPr>
      <w:rFonts w:ascii="Times New Roman" w:hAnsi="Times New Roman" w:eastAsia="宋体" w:cs="Times New Roman"/>
      <w:sz w:val="18"/>
      <w:szCs w:val="18"/>
    </w:rPr>
  </w:style>
  <w:style w:type="character" w:customStyle="1" w:styleId="37">
    <w:name w:val="文档结构图 字符"/>
    <w:basedOn w:val="24"/>
    <w:link w:val="10"/>
    <w:qFormat/>
    <w:uiPriority w:val="99"/>
    <w:rPr>
      <w:rFonts w:ascii="宋体" w:hAnsi="Times New Roman" w:eastAsia="宋体" w:cs="Times New Roman"/>
      <w:sz w:val="18"/>
      <w:szCs w:val="18"/>
    </w:rPr>
  </w:style>
  <w:style w:type="character" w:customStyle="1" w:styleId="38">
    <w:name w:val="批注文字 字符"/>
    <w:basedOn w:val="24"/>
    <w:link w:val="11"/>
    <w:qFormat/>
    <w:uiPriority w:val="0"/>
    <w:rPr>
      <w:rFonts w:ascii="Times New Roman" w:hAnsi="Times New Roman" w:eastAsia="宋体" w:cs="Times New Roman"/>
      <w:sz w:val="24"/>
      <w:szCs w:val="24"/>
    </w:rPr>
  </w:style>
  <w:style w:type="character" w:customStyle="1" w:styleId="39">
    <w:name w:val="批注主题 字符"/>
    <w:basedOn w:val="38"/>
    <w:link w:val="21"/>
    <w:semiHidden/>
    <w:qFormat/>
    <w:uiPriority w:val="99"/>
    <w:rPr>
      <w:rFonts w:ascii="Times New Roman" w:hAnsi="Times New Roman" w:eastAsia="宋体" w:cs="Times New Roman"/>
      <w:b/>
      <w:bCs/>
      <w:sz w:val="24"/>
      <w:szCs w:val="24"/>
    </w:rPr>
  </w:style>
  <w:style w:type="paragraph" w:customStyle="1" w:styleId="40">
    <w:name w:val="正文首行缩进2字符"/>
    <w:basedOn w:val="1"/>
    <w:qFormat/>
    <w:uiPriority w:val="0"/>
    <w:pPr>
      <w:ind w:firstLine="482"/>
    </w:pPr>
  </w:style>
  <w:style w:type="character" w:customStyle="1" w:styleId="41">
    <w:name w:val="current"/>
    <w:basedOn w:val="24"/>
    <w:qFormat/>
    <w:uiPriority w:val="0"/>
    <w:rPr>
      <w:b/>
      <w:bCs/>
      <w:color w:val="05A7D8"/>
      <w:sz w:val="18"/>
      <w:szCs w:val="18"/>
    </w:rPr>
  </w:style>
  <w:style w:type="character" w:customStyle="1" w:styleId="42">
    <w:name w:val="l-btn-left"/>
    <w:basedOn w:val="24"/>
    <w:qFormat/>
    <w:uiPriority w:val="0"/>
  </w:style>
  <w:style w:type="character" w:customStyle="1" w:styleId="43">
    <w:name w:val="l-btn-text36"/>
    <w:basedOn w:val="24"/>
    <w:qFormat/>
    <w:uiPriority w:val="0"/>
  </w:style>
  <w:style w:type="character" w:customStyle="1" w:styleId="44">
    <w:name w:val="l-btn-text"/>
    <w:basedOn w:val="24"/>
    <w:qFormat/>
    <w:uiPriority w:val="0"/>
  </w:style>
  <w:style w:type="character" w:customStyle="1" w:styleId="45">
    <w:name w:val="grame"/>
    <w:basedOn w:val="24"/>
    <w:qFormat/>
    <w:uiPriority w:val="0"/>
  </w:style>
  <w:style w:type="paragraph" w:customStyle="1" w:styleId="46">
    <w:name w:val="标准文本"/>
    <w:basedOn w:val="1"/>
    <w:qFormat/>
    <w:uiPriority w:val="0"/>
    <w:pPr>
      <w:spacing w:line="360" w:lineRule="auto"/>
      <w:ind w:firstLine="480" w:firstLineChars="200"/>
    </w:pPr>
    <w:rPr>
      <w:rFonts w:cs="宋体"/>
      <w:szCs w:val="20"/>
    </w:rPr>
  </w:style>
  <w:style w:type="paragraph" w:customStyle="1" w:styleId="47">
    <w:name w:val="_Style 3"/>
    <w:qFormat/>
    <w:uiPriority w:val="1"/>
    <w:pPr>
      <w:widowControl w:val="0"/>
      <w:jc w:val="both"/>
    </w:pPr>
    <w:rPr>
      <w:rFonts w:ascii="Calibri" w:hAnsi="Calibri" w:eastAsia="宋体" w:cs="Times New Roman"/>
      <w:kern w:val="2"/>
      <w:sz w:val="21"/>
      <w:szCs w:val="22"/>
      <w:lang w:val="en-US" w:eastAsia="zh-CN" w:bidi="ar-SA"/>
    </w:rPr>
  </w:style>
  <w:style w:type="paragraph" w:customStyle="1" w:styleId="48">
    <w:name w:val="普通正文"/>
    <w:basedOn w:val="1"/>
    <w:qFormat/>
    <w:uiPriority w:val="0"/>
    <w:pPr>
      <w:spacing w:line="600" w:lineRule="exact"/>
      <w:ind w:firstLine="560" w:firstLineChars="200"/>
    </w:pPr>
    <w:rPr>
      <w:rFonts w:ascii="宋体" w:hAnsi="宋体" w:cs="宋体"/>
      <w:bCs/>
      <w:color w:val="000000"/>
      <w:sz w:val="28"/>
      <w:szCs w:val="28"/>
    </w:rPr>
  </w:style>
  <w:style w:type="paragraph" w:customStyle="1" w:styleId="49">
    <w:name w:val="（符号）三标题1.1"/>
    <w:basedOn w:val="1"/>
    <w:qFormat/>
    <w:uiPriority w:val="0"/>
    <w:pPr>
      <w:numPr>
        <w:ilvl w:val="1"/>
        <w:numId w:val="1"/>
      </w:numPr>
      <w:tabs>
        <w:tab w:val="left" w:pos="700"/>
      </w:tabs>
      <w:spacing w:line="500" w:lineRule="exact"/>
    </w:pPr>
  </w:style>
  <w:style w:type="character" w:customStyle="1" w:styleId="50">
    <w:name w:val="NormalCharacter"/>
    <w:qFormat/>
    <w:uiPriority w:val="99"/>
    <w:rPr>
      <w:kern w:val="2"/>
      <w:sz w:val="21"/>
      <w:szCs w:val="22"/>
      <w:lang w:val="en-US" w:eastAsia="zh-CN" w:bidi="ar-SA"/>
    </w:rPr>
  </w:style>
  <w:style w:type="character" w:customStyle="1" w:styleId="51">
    <w:name w:val="纯文本 字符"/>
    <w:link w:val="13"/>
    <w:qFormat/>
    <w:locked/>
    <w:uiPriority w:val="0"/>
    <w:rPr>
      <w:rFonts w:ascii="宋体" w:hAnsi="Courier New"/>
      <w:sz w:val="28"/>
      <w:szCs w:val="28"/>
    </w:rPr>
  </w:style>
  <w:style w:type="character" w:customStyle="1" w:styleId="52">
    <w:name w:val="正文文本首行缩进 字符"/>
    <w:basedOn w:val="29"/>
    <w:link w:val="2"/>
    <w:qFormat/>
    <w:uiPriority w:val="99"/>
    <w:rPr>
      <w:rFonts w:ascii="Times New Roman" w:hAnsi="Times New Roman" w:eastAsia="宋体" w:cs="Times New Roman"/>
      <w:kern w:val="0"/>
      <w:sz w:val="24"/>
      <w:szCs w:val="24"/>
    </w:rPr>
  </w:style>
  <w:style w:type="paragraph" w:customStyle="1" w:styleId="53">
    <w:name w:val="正文缩进11"/>
    <w:basedOn w:val="1"/>
    <w:qFormat/>
    <w:uiPriority w:val="99"/>
    <w:pPr>
      <w:ind w:firstLine="420"/>
      <w:jc w:val="left"/>
    </w:pPr>
    <w:rPr>
      <w:sz w:val="20"/>
      <w:szCs w:val="20"/>
    </w:rPr>
  </w:style>
  <w:style w:type="paragraph" w:customStyle="1" w:styleId="54">
    <w:name w:val="仿宋GBK正文"/>
    <w:basedOn w:val="1"/>
    <w:qFormat/>
    <w:uiPriority w:val="0"/>
    <w:pPr>
      <w:spacing w:line="520" w:lineRule="exact"/>
      <w:jc w:val="left"/>
    </w:pPr>
    <w:rPr>
      <w:sz w:val="21"/>
    </w:rPr>
  </w:style>
  <w:style w:type="paragraph" w:customStyle="1" w:styleId="55">
    <w:name w:val="_Style 51"/>
    <w:basedOn w:val="1"/>
    <w:next w:val="33"/>
    <w:qFormat/>
    <w:uiPriority w:val="34"/>
    <w:pPr>
      <w:ind w:firstLine="420" w:firstLineChars="200"/>
    </w:pPr>
    <w:rPr>
      <w:rFonts w:ascii="Calibri" w:hAnsi="Calibri"/>
      <w:kern w:val="2"/>
      <w:sz w:val="21"/>
    </w:rPr>
  </w:style>
  <w:style w:type="paragraph" w:customStyle="1" w:styleId="56">
    <w:name w:val="_Style 52"/>
    <w:basedOn w:val="1"/>
    <w:next w:val="33"/>
    <w:qFormat/>
    <w:uiPriority w:val="34"/>
    <w:pPr>
      <w:ind w:firstLine="420" w:firstLineChars="200"/>
    </w:pPr>
    <w:rPr>
      <w:rFonts w:ascii="Calibri" w:hAnsi="Calibri"/>
      <w:kern w:val="2"/>
      <w:sz w:val="21"/>
    </w:rPr>
  </w:style>
  <w:style w:type="character" w:customStyle="1" w:styleId="57">
    <w:name w:val="custom-tag-placeholder-class"/>
    <w:basedOn w:val="24"/>
    <w:qFormat/>
    <w:uiPriority w:val="0"/>
  </w:style>
  <w:style w:type="character" w:customStyle="1" w:styleId="58">
    <w:name w:val="标题 3 字符"/>
    <w:basedOn w:val="24"/>
    <w:link w:val="8"/>
    <w:qFormat/>
    <w:uiPriority w:val="9"/>
    <w:rPr>
      <w:b/>
      <w:bCs/>
      <w:sz w:val="32"/>
      <w:szCs w:val="32"/>
    </w:rPr>
  </w:style>
  <w:style w:type="character" w:customStyle="1" w:styleId="59">
    <w:name w:val="正文有缩 Char"/>
    <w:link w:val="60"/>
    <w:qFormat/>
    <w:locked/>
    <w:uiPriority w:val="0"/>
    <w:rPr>
      <w:sz w:val="24"/>
      <w:szCs w:val="24"/>
    </w:rPr>
  </w:style>
  <w:style w:type="paragraph" w:customStyle="1" w:styleId="60">
    <w:name w:val="正文有缩"/>
    <w:basedOn w:val="1"/>
    <w:link w:val="59"/>
    <w:qFormat/>
    <w:uiPriority w:val="0"/>
    <w:pPr>
      <w:spacing w:line="360" w:lineRule="auto"/>
      <w:ind w:firstLine="480" w:firstLineChars="200"/>
    </w:pPr>
  </w:style>
  <w:style w:type="character" w:customStyle="1" w:styleId="61">
    <w:name w:val="正文文本 2 字符"/>
    <w:basedOn w:val="24"/>
    <w:link w:val="19"/>
    <w:qFormat/>
    <w:uiPriority w:val="99"/>
    <w:rPr>
      <w:rFonts w:ascii="宋体" w:hAnsiTheme="minorHAnsi" w:cstheme="minorBidi"/>
      <w:sz w:val="24"/>
      <w:szCs w:val="22"/>
    </w:rPr>
  </w:style>
  <w:style w:type="character" w:customStyle="1" w:styleId="62">
    <w:name w:val="标题 6 字符"/>
    <w:basedOn w:val="24"/>
    <w:link w:val="9"/>
    <w:semiHidden/>
    <w:qFormat/>
    <w:uiPriority w:val="9"/>
    <w:rPr>
      <w:rFonts w:asciiTheme="majorHAnsi" w:hAnsiTheme="majorHAnsi" w:eastAsiaTheme="majorEastAsia" w:cstheme="majorBidi"/>
      <w:b/>
      <w:bCs/>
      <w:sz w:val="24"/>
      <w:szCs w:val="24"/>
    </w:rPr>
  </w:style>
  <w:style w:type="character" w:customStyle="1" w:styleId="63">
    <w:name w:val="标题 6 字符1"/>
    <w:qFormat/>
    <w:uiPriority w:val="99"/>
    <w:rPr>
      <w:rFonts w:ascii="Arial" w:hAnsi="Arial" w:eastAsia="黑体"/>
      <w:b/>
      <w:bCs/>
      <w:kern w:val="2"/>
      <w:sz w:val="24"/>
      <w:szCs w:val="24"/>
    </w:rPr>
  </w:style>
  <w:style w:type="paragraph" w:customStyle="1" w:styleId="64">
    <w:name w:val="修订1"/>
    <w:hidden/>
    <w:unhideWhenUsed/>
    <w:qFormat/>
    <w:uiPriority w:val="99"/>
    <w:rPr>
      <w:rFonts w:ascii="Times New Roman" w:hAnsi="Times New Roman" w:eastAsia="宋体" w:cs="Times New Roman"/>
      <w:sz w:val="24"/>
      <w:szCs w:val="24"/>
      <w:lang w:val="en-US" w:eastAsia="zh-CN" w:bidi="ar-SA"/>
    </w:rPr>
  </w:style>
  <w:style w:type="paragraph" w:customStyle="1" w:styleId="65">
    <w:name w:val="Revision"/>
    <w:hidden/>
    <w:unhideWhenUsed/>
    <w:uiPriority w:val="99"/>
    <w:rPr>
      <w:rFonts w:ascii="Times New Roman" w:hAnsi="Times New Roman" w:eastAsia="宋体"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64</Pages>
  <Words>32013</Words>
  <Characters>34247</Characters>
  <Lines>280</Lines>
  <Paragraphs>78</Paragraphs>
  <TotalTime>67</TotalTime>
  <ScaleCrop>false</ScaleCrop>
  <LinksUpToDate>false</LinksUpToDate>
  <CharactersWithSpaces>35419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2025-04-17T16:49:00Z</dcterms:created>
  <dc:creator>阙美霞</dc:creator>
  <cp:lastModifiedBy>ALICE</cp:lastModifiedBy>
  <cp:lastPrinted>2025-11-19T08:25:00Z</cp:lastPrinted>
  <dcterms:modified xsi:type="dcterms:W3CDTF">2025-12-02T07:45:53Z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1185828ADB1C439D81C77FB364D6EF39_13</vt:lpwstr>
  </property>
  <property fmtid="{D5CDD505-2E9C-101B-9397-08002B2CF9AE}" pid="4" name="KSOTemplateDocerSaveRecord">
    <vt:lpwstr>eyJoZGlkIjoiMWY4YTNkOGE3MzEzYWE1ODdjMDZiNDkyOWUzMmYyNjgiLCJ1c2VySWQiOiIyNTI1ODcxNzMifQ==</vt:lpwstr>
  </property>
</Properties>
</file>